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368 HGB</w:t>
      </w:r>
    </w:p>
    <w:p>
      <w:r>
        <w:rPr>
          <w:color w:val="555555"/>
          <w:sz w:val="18"/>
        </w:rPr>
        <w:t xml:space="preserve">Handelsgesetzbuch</w:t>
      </w:r>
    </w:p>
    <w:p>
      <w:r>
        <w:rPr>
          <w:color w:val="555555"/>
          <w:sz w:val="18"/>
        </w:rPr>
        <w:t xml:space="preserve">Stand: 10.06.2019 (konsolidierte Textfassung, kein amtliches Inkrafttretensdatum)</w:t>
      </w:r>
    </w:p>
    <w:p>
      <w:r>
        <w:t xml:space="preserve">(1) Bei dem Verkauf eines Pfandes tritt, wenn die Verpfändung auf der Seite des Pfandgläubigers und des Verpfänders ein Handelsgeschäft ist, an die Stelle der in § 1234 des Bürgerlichen Gesetzbuchs bestimmten Frist von einem Monat eine solche von einer Woche.</w:t>
      </w:r>
    </w:p>
    <w:p>
      <w:r>
        <w:t xml:space="preserve">(2) Diese Vorschrift ist auf das gesetzliche Pfandrecht des Kommissionärs, des Frachtführers oder Verfrachters, des Spediteurs und des Lagerhalters entsprechend anzuwenden, auf das Pfandrecht des Frachtführers, Verfrachters und Spediteurs auch dann, wenn nur auf ihrer Seite der Vertrag ein Handelsgeschäft ist.</w:t>
      </w:r>
    </w:p>
    <w:p>
      <w:r>
        <w:rPr>
          <w:color w:val="555555"/>
          <w:sz w:val="17"/>
        </w:rPr>
        <w:t xml:space="preserve">Zitiervorschlag: § 368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