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als Zeit der Leistung das Frühjahr oder der Herbst oder ein in ähnlicher Weise bestimmter Zeitpunkt vereinbart, so entscheidet im Zweifel der Handelsgebrauch des Ortes der Leistung.</w:t>
      </w:r>
    </w:p>
    <w:p>
      <w:r>
        <w:t xml:space="preserve">(2) Ist eine Frist von acht Tagen vereinbart, so sind hierunter im Zweifel volle acht Tage zu verstehen.</w:t>
      </w:r>
    </w:p>
    <w:p>
      <w:r>
        <w:rPr>
          <w:color w:val="555555"/>
          <w:sz w:val="17"/>
        </w:rPr>
        <w:t xml:space="preserve">Zitiervorschlag: § 359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359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