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348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Vertragsstrafe, die von einem Kaufmann im Betriebe seines Handelsgewerbes versprochen ist, kann nicht auf Grund der Vorschriften des § 343 des Bürgerlichen Gesetzbuchs herabgesetzt werden.</w:t>
      </w:r>
    </w:p>
    <w:p>
      <w:r>
        <w:rPr>
          <w:color w:val="555555"/>
          <w:sz w:val="17"/>
        </w:rPr>
        <w:t xml:space="preserve">Zitiervorschlag: § 348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348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