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344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einem Kaufmanne vorgenommenen Rechtsgeschäfte gelten im Zweifel als zum Betriebe seines Handelsgewerbes gehörig.</w:t>
      </w:r>
    </w:p>
    <w:p>
      <w:r>
        <w:t xml:space="preserve">(2) Die von einem Kaufmanne gezeichneten Schuldscheine gelten als im Betriebe seines Handelsgewerbes gezeichnet, sofern nicht aus der Urkunde sich das Gegenteil ergibt.</w:t>
      </w:r>
    </w:p>
    <w:p>
      <w:r>
        <w:rPr>
          <w:color w:val="555555"/>
          <w:sz w:val="17"/>
        </w:rPr>
        <w:t xml:space="preserve">Zitiervorschlag: § 344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