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342p HGB — Ordnungsgelder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Das Bundesamt für Justiz hat ein Ordnungsgeldverfahren durchzuführen gegen</w:t>
      </w:r>
    </w:p>
    <w:p>
      <w:pPr>
        <w:ind w:left="420"/>
      </w:pPr>
      <w:r>
        <w:t xml:space="preserve">1. die Mitglieder des vertretungsberechtigten Organs einer Gesellschaft im Sinne des § 342 Absatz 1, die § 342m Absatz 1 oder 2 hinsichtlich der Pflicht zur Offenlegung des Ertragsteuerinformationsberichts oder der Erklärung nach § 342d Absatz 2 Nummer 1 nicht befolgen,</w:t>
      </w:r>
    </w:p>
    <w:p>
      <w:pPr>
        <w:ind w:left="420"/>
      </w:pPr>
      <w:r>
        <w:t xml:space="preserve">2. die Mitglieder des vertretungsberechtigten Organs einer Kapitalgesellschaft im Sinne des § 342 Absatz 2, die § 342m Absatz 3 hinsichtlich der Pflicht zur Offenlegung des Ertragsteuerinformationsberichts oder der Erklärung nach § 342e Absatz 2 Nummer 1 oder § 342f Absatz 2 Nummer 1 nicht befolgen.</w:t>
      </w:r>
    </w:p>
    <w:p>
      <w:r>
        <w:t xml:space="preserve">Im Falle des Satzes 1 Nummer 2 treten die in § 13e Absatz 2 Satz 5 Nummer 3 genannten angemeldeten Personen, sobald sie angemeldet sind, an die Stelle der Mitglieder des vertretungsberechtigten Organs der Kapitalgesellschaft. Das Ordnungsgeldverfahren kann im Falle des Satzes 1 Nummer 1 auch gegen die Gesellschaft im Sinne des § 342 Absatz 1 und im Falle des Satzes 1 Nummer 2 auch gegen die Kapitalgesellschaft im Sinne des § 342 Absatz 2 durchgeführt werden. § 335 Absatz 1 Satz 3 bis 5 und Absatz 1c bis 7 sowie die §§ 335a und 335b sind mit der Maßgabe entsprechend anzuwenden, dass das Ordnungsgeld höchstens zweihundertfünfzigtausend Euro beträgt.</w:t>
      </w:r>
    </w:p>
    <w:p>
      <w:r>
        <w:rPr>
          <w:color w:val="555555"/>
          <w:sz w:val="17"/>
        </w:rPr>
        <w:t xml:space="preserve">Zitiervorschlag: § 342p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https://recht.nulegal.eu/gesetze/HGB/342p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