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342l HGB — Formblatt; maschinenlesbares elektronisches Format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Der Ertragsteuerinformationsbericht ist unter Verwendung des von der Europäischen Kommission auf der Grundlage des Artikels 48c Absatz 4 Satz 2 der Richtlinie 2013/34/EU festzulegenden Formblatts zu erstellen.</w:t>
      </w:r>
    </w:p>
    <w:p>
      <w:r>
        <w:t xml:space="preserve">(2) Der Ertragsteuerinformationsbericht ist in einem von der Europäischen Kommission auf der Grundlage des Artikels 48c Absatz 4 Satz 2 der Richtlinie 2013/34/EU festzulegenden maschinenlesbaren elektronischen Format zu erstellen.</w:t>
      </w:r>
    </w:p>
    <w:p>
      <w:r>
        <w:rPr>
          <w:color w:val="555555"/>
          <w:sz w:val="17"/>
        </w:rPr>
        <w:t xml:space="preserve">Zitiervorschlag: § 342l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https://recht.nulegal.eu/gesetze/HGB/342l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342l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