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342j HGB — Währung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Der Ertragsteuerinformationsbericht ist in den Fällen der §§ 342b, 342c und 342d Absatz 2 Nummer 2 in Euro zu erstellen.</w:t>
      </w:r>
    </w:p>
    <w:p>
      <w:r>
        <w:t xml:space="preserve">(2) In den Fällen des § 342e ist der Bericht in derjenigen Währung zu erstellen, in der der Jahresabschluss des unverbundenen Unternehmens für den Berichtszeitraum aufgestellt wird.</w:t>
      </w:r>
    </w:p>
    <w:p>
      <w:r>
        <w:t xml:space="preserve">(3) In den Fällen des § 342d, die nicht von Absatz 1 erfasst sind, und in den Fällen des § 342f ist der Bericht in derjenigen Währung zu erstellen, in der der Konzernabschluss des obersten Mutterunternehmens für den Berichtszeitraum aufgestellt wird.</w:t>
      </w:r>
    </w:p>
    <w:p>
      <w:r>
        <w:rPr>
          <w:color w:val="555555"/>
          <w:sz w:val="17"/>
        </w:rPr>
        <w:t xml:space="preserve">Zitiervorschlag: § 342j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https://recht.nulegal.eu/gesetze/HGB/342j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