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342i HGB — Länderbezogener Ausweis der Angaben</w:t>
      </w:r>
    </w:p>
    <w:p>
      <w:r>
        <w:rPr>
          <w:color w:val="555555"/>
          <w:sz w:val="18"/>
        </w:rPr>
        <w:t xml:space="preserve">Handelsgesetzbuch</w:t>
      </w:r>
    </w:p>
    <w:p>
      <w:r>
        <w:rPr>
          <w:color w:val="555555"/>
          <w:sz w:val="18"/>
        </w:rPr>
        <w:t xml:space="preserve">Stand: 25.06.2023 (konsolidierte Textfassung, kein amtliches Inkrafttretensdatum)</w:t>
      </w:r>
    </w:p>
    <w:p>
      <w:r>
        <w:t xml:space="preserve">(1) Die Angaben nach § 342h Absatz 2 sind wie folgt getrennt auszuweisen:</w:t>
      </w:r>
    </w:p>
    <w:p>
      <w:pPr>
        <w:ind w:left="420"/>
      </w:pPr>
      <w:r>
        <w:t xml:space="preserve">1. für jeden Mitgliedstaat der Europäischen Union und jeden anderen Vertragsstaat des Abkommens über den Europäischen Wirtschaftsraum, wobei die Angaben auf der Ebene des Mitgliedstaats oder Vertragsstaats zusammenzufassen sind, wenn ein Mitgliedstaat oder Vertragsstaat mehrere Steuerhoheitsgebiete umfasst;</w:t>
      </w:r>
    </w:p>
    <w:p>
      <w:pPr>
        <w:ind w:left="420"/>
      </w:pPr>
      <w:r>
        <w:t xml:space="preserve">2. für jedes Steuerhoheitsgebiet, das im Berichtszeitraum am 1. März in Anhang I der Schlussfolgerungen des Rates zur überarbeiteten EU-Liste nicht kooperativer Länder und Gebiete für Steuerzwecke aufgeführt war;</w:t>
      </w:r>
    </w:p>
    <w:p>
      <w:pPr>
        <w:ind w:left="420"/>
      </w:pPr>
      <w:r>
        <w:t xml:space="preserve">3. für jedes Steuerhoheitsgebiet, das im Berichtszeitraum und in dem diesem unmittelbar vorausgehenden Geschäftsjahr jeweils am 1. März in Anhang II der Schlussfolgerungen des Rates zur überarbeiteten EU-Liste nicht kooperativer Länder und Gebiete für Steuerzwecke aufgeführt war.</w:t>
      </w:r>
    </w:p>
    <w:p>
      <w:r>
        <w:t xml:space="preserve">Für andere Steuerhoheitsgebiete sind die Angaben nach § 342h Absatz 2 zusammengefasst auszuweisen.</w:t>
      </w:r>
    </w:p>
    <w:p>
      <w:r>
        <w:t xml:space="preserve">(2) Die Angaben sind demjenigen Steuerhoheitsgebiet zuzuordnen, in dem die Niederlassung oder feste Geschäftseinrichtung belegen ist oder die dauerhafte Geschäftstätigkeit besteht, auf die sich die Angaben jeweils beziehen, vorausgesetzt, die Niederlassung, feste Geschäftseinrichtung oder dauerhafte Geschäftstätigkeit kann im betreffenden Steuerhoheitsgebiet der Ertragsteuer unterliegen. Angaben zu einbehaltenen Gewinnen sind stets dem Steuerhoheitsgebiet zuzuordnen, in dem die Hauptniederlassung belegen ist. Unterliegen mehrere verbundene Unternehmen in einem Steuerhoheitsgebiet der Ertragsteuer, so sind die nach den Sätzen 1 und 2 diesem Steuerhoheitsgebiet jeweils zuzuordnenden Angaben für das Steuerhoheitsgebiet zusammenzufassen. Angaben zu einer Niederlassung, festen Geschäftseinrichtung oder dauerhaften Geschäftstätigkeit dürfen nicht mehr als einem Steuerhoheitsgebiet zugeordnet werden.</w:t>
      </w:r>
    </w:p>
    <w:p>
      <w:r>
        <w:rPr>
          <w:color w:val="555555"/>
          <w:sz w:val="17"/>
        </w:rPr>
        <w:t xml:space="preserve">Zitiervorschlag: § 342i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https://recht.nulegal.eu/gesetze/HGB/342i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