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342f HGB — Inländische Zweigniederlassungen verbundener Unternehmen mit Sitz in einem Drittstaat</w:t>
      </w:r>
    </w:p>
    <w:p>
      <w:r>
        <w:rPr>
          <w:color w:val="555555"/>
          <w:sz w:val="18"/>
        </w:rPr>
        <w:t xml:space="preserve">Handelsgesetzbuch</w:t>
      </w:r>
    </w:p>
    <w:p>
      <w:r>
        <w:rPr>
          <w:color w:val="555555"/>
          <w:sz w:val="18"/>
        </w:rPr>
        <w:t xml:space="preserve">Stand: 25.06.2023 (konsolidierte Textfassung, kein amtliches Inkrafttretensdatum)</w:t>
      </w:r>
    </w:p>
    <w:p>
      <w:r>
        <w:t xml:space="preserve">(1) Bei Zweigniederlassungen im Sinne des § 342 Absatz 2 Nummer 2 einer Kapitalgesellschaft im Sinne des § 342 Absatz 2 Nummer 1 zweite Alternative haben die in § 13e Absatz 2 Satz 5 Nummer 3 genannten angemeldeten Personen oder, wenn solche nicht vorhanden sind, die Mitglieder des vertretungsberechtigten Organs der Kapitalgesellschaft das oberste Mutterunternehmen aufzufordern, ihnen für das vergangene Geschäftsjahr einen Ertragsteuerinformationsbericht zur Verfügung zu stellen, der gemäß § 342g Nummer 2, den §§ 342h, 342i, 342j Absatz 3 sowie den §§ 342k und 342l erstellt worden ist, wenn</w:t>
      </w:r>
    </w:p>
    <w:p>
      <w:pPr>
        <w:ind w:left="420"/>
      </w:pPr>
      <w:r>
        <w:t xml:space="preserve">1. die in den Konzernabschlüssen des obersten Mutterunternehmens ausgewiesenen Konzernumsatzerlöse in mindestens zwei aufeinander folgenden Geschäftsjahren jeweils einen Betrag übersteigen, der zum Wechselkurs vom 21. Dezember 2021 bei Rundung auf das nächste Tausend einem Betrag von 750 Millionen Euro entspricht, und</w:t>
      </w:r>
    </w:p>
    <w:p>
      <w:pPr>
        <w:ind w:left="420"/>
      </w:pPr>
      <w:r>
        <w:t xml:space="preserve">2. das oberste Mutterunternehmen kein Tochterunternehmen hat, das den Pflichten nach § 342d Absatz 1 und 2 oder vergleichbaren Pflichten nach Maßgabe des Rechts eines anderen Mitgliedstaats der Europäischen Union oder eines anderen Vertragsstaats des Abkommens über den Europäischen Wirtschaftsraum im Einklang mit Artikel 48b Absatz 4 der Richtlinie 2013/34/EU unterliegt.</w:t>
      </w:r>
    </w:p>
    <w:p>
      <w:r>
        <w:t xml:space="preserve">(2) Wenn das oberste Mutterunternehmen einen Ertragsteuerinformationsbericht nicht zur Verfügung stellt oder der zur Verfügung gestellte Bericht nicht den gesetzlichen Vorgaben entspricht, haben die nach Absatz 1 Verpflichteten für die Kapitalgesellschaft Folgendes zu erstellen:</w:t>
      </w:r>
    </w:p>
    <w:p>
      <w:pPr>
        <w:ind w:left="420"/>
      </w:pPr>
      <w:r>
        <w:t xml:space="preserve">1. eine Erklärung darüber, dass das oberste Mutterunternehmen einen Ertragsteuerinformationsbericht nicht zur Verfügung gestellt hat oder dass der zur Verfügung gestellte Bericht nicht den gesetzlichen Vorgaben entspricht, sowie</w:t>
      </w:r>
    </w:p>
    <w:p>
      <w:pPr>
        <w:ind w:left="420"/>
      </w:pPr>
      <w:r>
        <w:t xml:space="preserve">2. einen Ertragsteuerinformationsbericht gemäß</w:t>
      </w:r>
    </w:p>
    <w:p>
      <w:pPr>
        <w:ind w:left="780"/>
      </w:pPr>
      <w:r>
        <w:t xml:space="preserve">a) § 342g Nummer 2, den §§ 342h, 342i, 342j Absatz 3 und § 342k Absatz 2 sowie</w:t>
      </w:r>
    </w:p>
    <w:p>
      <w:pPr>
        <w:ind w:left="780"/>
      </w:pPr>
      <w:r>
        <w:t xml:space="preserve">b) § 342k Absatz 1 und § 342l</w:t>
      </w:r>
    </w:p>
    <w:p>
      <w:pPr>
        <w:ind w:left="420"/>
      </w:pPr>
      <w:r>
        <w:t xml:space="preserve">mit denjenigen Angaben, über die sie verfügen und die sie beschaffen können.</w:t>
      </w:r>
    </w:p>
    <w:p>
      <w:r>
        <w:t xml:space="preserve">(3) Die nach den Absätzen 1 und 2 Verpflichteten sind von den dort genannten Pflichten befreit, wenn das oberste Mutterunternehmen einen Ertragsteuerinformationsbericht gemäß § 342g Nummer 2, den §§ 342h, 342i, 342j Absatz 3 sowie den §§ 342k und 342l erstellt hat, der</w:t>
      </w:r>
    </w:p>
    <w:p>
      <w:pPr>
        <w:ind w:left="420"/>
      </w:pPr>
      <w:r>
        <w:t xml:space="preserve">1. spätestens ein Jahr nach dem Ende des Berichtszeitraums in mindestens einer Amtssprache der Europäischen Union kostenlos auf der Internetseite des obersten Mutterunternehmens veröffentlicht worden ist,</w:t>
      </w:r>
    </w:p>
    <w:p>
      <w:pPr>
        <w:ind w:left="420"/>
      </w:pPr>
      <w:r>
        <w:t xml:space="preserve">2. von einer anderen inländischen Zweigniederlassung spätestens ein Jahr nach dem Ende des Berichtszeitraums in deutscher Sprache der das Unternehmensregister führenden Stelle zur Einstellung in das Unternehmensregister übermittelt oder von einer Zweigniederlassung in einem anderen Mitgliedstaat der Europäischen Union oder einem anderen Vertragsstaat des Abkommens über den Europäischen Wirtschaftsraum nach Maßgabe des jeweiligen nationalen Rechts im Einklang mit Artikel 48d Absatz 1 der Richtlinie 2013/34/EU offengelegt worden ist und</w:t>
      </w:r>
    </w:p>
    <w:p>
      <w:pPr>
        <w:ind w:left="420"/>
      </w:pPr>
      <w:r>
        <w:t xml:space="preserve">3. den Namen und die Geschäftsanschrift derjenigen Zweigniederlassung angibt, für die die Offenlegung gemäß Nummer 2 bewirkt worden ist.</w:t>
      </w:r>
    </w:p>
    <w:p>
      <w:r>
        <w:t xml:space="preserve">(4) Die Pflichten nach den Absätzen 1 und 2 erlöschen, wenn die in den Konzernabschlüssen des obersten Mutterunternehmens ausgewiesenen Konzernumsatzerlöse in zwei aufeinander folgenden Geschäftsjahren jeweils einen Betrag unterschreiten, der zum Wechselkurs vom 21. Dezember 2021 bei Rundung auf das nächste Tausend einem Betrag von 750 Millionen Euro entspricht.</w:t>
      </w:r>
    </w:p>
    <w:p>
      <w:r>
        <w:t xml:space="preserve">(5) Konzernumsatzerlöse nach den Absätzen 1 und 4 sind der Betrag der Konzernumsatzerlöse, der sich bei Anwendung der Rechnungslegungsgrundsätze ergibt, die nach dem jeweiligen nationalen Recht für die Aufstellung des Konzernabschlusses des obersten Mutterunternehmens gelten.</w:t>
      </w:r>
    </w:p>
    <w:p>
      <w:r>
        <w:rPr>
          <w:color w:val="555555"/>
          <w:sz w:val="17"/>
        </w:rPr>
        <w:t xml:space="preserve">Zitiervorschlag: § 342f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https://recht.nulegal.eu/gesetze/HGB/342f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