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342d HGB — Tochterunternehmen mit Sitz im Inland von obersten Mutterunternehmen mit Sitz in einem Drittstaat</w:t>
      </w:r>
    </w:p>
    <w:p>
      <w:r>
        <w:rPr>
          <w:color w:val="555555"/>
          <w:sz w:val="18"/>
        </w:rPr>
        <w:t xml:space="preserve">Handelsgesetzbuch</w:t>
      </w:r>
    </w:p>
    <w:p>
      <w:r>
        <w:rPr>
          <w:color w:val="555555"/>
          <w:sz w:val="18"/>
        </w:rPr>
        <w:t xml:space="preserve">Stand: 25.06.2023 (konsolidierte Textfassung, kein amtliches Inkrafttretensdatum)</w:t>
      </w:r>
    </w:p>
    <w:p>
      <w:r>
        <w:t xml:space="preserve">(1) Die Mitglieder des vertretungsberechtigten Organs einer Gesellschaft im Sinne des § 342 Absatz 1 Nummer 3 haben das oberste Mutterunternehmen der Gesellschaft aufzufordern, ihr für das vergangene Geschäftsjahr einen Ertragsteuerinformationsbericht zur Verfügung zu stellen, der gemäß § 342g Nummer 2, den §§ 342h, 342i und 342j Absatz 3 sowie den §§ 342k und 342l erstellt worden ist, wenn die in den Konzernabschlüssen des obersten Mutterunternehmens ausgewiesenen Konzernumsatzerlöse in mindestens zwei aufeinander folgenden Geschäftsjahren jeweils einen Betrag übersteigen, der zum Wechselkurs vom 21. Dezember 2021 bei Rundung auf das nächste Tausend einem Betrag von 750 Millionen Euro entspricht.</w:t>
      </w:r>
    </w:p>
    <w:p>
      <w:r>
        <w:t xml:space="preserve">(2) Wenn das oberste Mutterunternehmen einen Ertragsteuerinformationsbericht nicht zur Verfügung stellt oder der zur Verfügung gestellte Bericht nicht den gesetzlichen Vorgaben entspricht, haben die Mitglieder des vertretungsberechtigten Organs der Gesellschaft für diese Folgendes zu erstellen:</w:t>
      </w:r>
    </w:p>
    <w:p>
      <w:pPr>
        <w:ind w:left="420"/>
      </w:pPr>
      <w:r>
        <w:t xml:space="preserve">1. eine Erklärung darüber, dass das oberste Mutterunternehmen einen Ertragsteuerinformationsbericht nicht zur Verfügung gestellt hat oder dass der zur Verfügung gestellte Bericht nicht den gesetzlichen Vorgaben entspricht, sowie</w:t>
      </w:r>
    </w:p>
    <w:p>
      <w:pPr>
        <w:ind w:left="420"/>
      </w:pPr>
      <w:r>
        <w:t xml:space="preserve">2. einen Ertragsteuerinformationsbericht gemäß</w:t>
      </w:r>
    </w:p>
    <w:p>
      <w:pPr>
        <w:ind w:left="780"/>
      </w:pPr>
      <w:r>
        <w:t xml:space="preserve">a) § 342g Nummer 2, den §§ 342h, 342i, 342j Absatz 1 und § 342k Absatz 2 sowie</w:t>
      </w:r>
    </w:p>
    <w:p>
      <w:pPr>
        <w:ind w:left="780"/>
      </w:pPr>
      <w:r>
        <w:t xml:space="preserve">b) § 342k Absatz 1 und § 342l</w:t>
      </w:r>
    </w:p>
    <w:p>
      <w:pPr>
        <w:ind w:left="420"/>
      </w:pPr>
      <w:r>
        <w:t xml:space="preserve">mit denjenigen Angaben, über die die Gesellschaft verfügt und die sie beschaffen kann.</w:t>
      </w:r>
    </w:p>
    <w:p>
      <w:r>
        <w:t xml:space="preserve">(3) Die Mitglieder des vertretungsberechtigten Organs einer Gesellschaft im Sinne des § 342 Absatz 1 Nummer 3 sind von den Pflichten nach den Absätzen 1 und 2 befreit, wenn das oberste Mutterunternehmen einen Ertragsteuerinformationsbericht gemäß § 342g Nummer 2, den §§ 342h, 342i und 342j Absatz 3 sowie den §§ 342k und 342l erstellt hat, der</w:t>
      </w:r>
    </w:p>
    <w:p>
      <w:pPr>
        <w:ind w:left="420"/>
      </w:pPr>
      <w:r>
        <w:t xml:space="preserve">1. spätestens ein Jahr nach dem Ende des Berichtszeitraums in mindestens einer Amtssprache der Europäischen Union kostenlos auf der Internetseite des obersten Mutterunternehmens veröffentlicht worden ist,</w:t>
      </w:r>
    </w:p>
    <w:p>
      <w:pPr>
        <w:ind w:left="420"/>
      </w:pPr>
      <w:r>
        <w:t xml:space="preserve">2. von einem anderen Tochterunternehmen mit Sitz im Inland spätestens ein Jahr nach dem Ende des Berichtszeitraums in deutscher Sprache der das Unternehmensregister führenden Stelle zur Einstellung in das Unternehmensregister übermittelt oder von einem Tochterunternehmen mit Sitz in einem anderen Mitgliedstaat der Europäischen Union oder einem anderen Vertragsstaat des Abkommens über den Europäischen Wirtschaftsraum nach Maßgabe des jeweiligen nationalen Rechts im Einklang mit Artikel 48d Absatz 1 der Richtlinie 2013/34/EU offengelegt worden ist und</w:t>
      </w:r>
    </w:p>
    <w:p>
      <w:pPr>
        <w:ind w:left="420"/>
      </w:pPr>
      <w:r>
        <w:t xml:space="preserve">3. den Namen und den Sitz desjenigen Tochterunternehmens angibt, das den Bericht gemäß Nummer 2 offengelegt hat.</w:t>
      </w:r>
    </w:p>
    <w:p>
      <w:r>
        <w:t xml:space="preserve">(4) Die Pflichten nach den Absätzen 1 und 2 erlöschen, wenn die in den Konzernabschlüssen des obersten Mutterunternehmens ausgewiesenen Konzernumsatzerlöse in zwei aufeinander folgenden Geschäftsjahren jeweils einen Betrag unterschreiten, der zum Wechselkurs vom 21. Dezember 2021 bei Rundung auf das nächste Tausend einem Betrag von 750 Millionen Euro entspricht.</w:t>
      </w:r>
    </w:p>
    <w:p>
      <w:r>
        <w:t xml:space="preserve">(5) Konzernumsatzerlöse nach den Absätzen 1 und 4 sind der Betrag der Konzernumsatzerlöse, der sich bei Anwendung der Rechnungslegungsgrundsätze ergibt, die nach dem jeweiligen nationalen Recht für die Aufstellung des Konzernabschlusses des obersten Mutterunternehmens gelten.</w:t>
      </w:r>
    </w:p>
    <w:p>
      <w:r>
        <w:rPr>
          <w:color w:val="555555"/>
          <w:sz w:val="17"/>
        </w:rPr>
        <w:t xml:space="preserve">Zitiervorschlag: § 342d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