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342c HGB — Oberste Mutterunternehmen mit Sitz im Inland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Mitglieder des vertretungsberechtigten Organs einer Gesellschaft im Sinne des § 342 Absatz 1 Nummer 2 haben für diese für das vergangene Geschäftsjahr einen Ertragsteuerinformationsbericht gemäß</w:t>
      </w:r>
    </w:p>
    <w:p>
      <w:pPr>
        <w:ind w:left="420"/>
      </w:pPr>
      <w:r>
        <w:t xml:space="preserve">1. § 342g Nummer 2, den §§ 342h, 342i, 342j Absatz 1 und § 342k Absatz 2 sowie</w:t>
      </w:r>
    </w:p>
    <w:p>
      <w:pPr>
        <w:ind w:left="420"/>
      </w:pPr>
      <w:r>
        <w:t xml:space="preserve">2. § 342k Absatz 1 und § 342l</w:t>
      </w:r>
    </w:p>
    <w:p>
      <w:r>
        <w:t xml:space="preserve">zu erstellen, wenn die in den Konzernabschlüssen der Gesellschaft ausgewiesenen Konzernumsatzerlöse in mindestens zwei aufeinander folgenden Geschäftsjahren jeweils 750 Millionen Euro übersteigen.</w:t>
      </w:r>
    </w:p>
    <w:p>
      <w:r>
        <w:t xml:space="preserve">(2) Die Mitglieder des vertretungsberechtigten Organs einer Gesellschaft im Sinne des § 342 Absatz 1 Nummer 2 sind von der Pflicht nach Absatz 1 befreit, wenn die Gesellschaft ein CRR-Kreditinstitut im Sinne des § 1 Absatz 3d Satz 1 des Kreditwesengesetzes oder ein Großes Wertpapierinstitut im Sinne des § 2 Absatz 18 des Wertpapierinstitutsgesetzes ist und für den Berichtszeitraum unter Einbeziehung sämtlicher in den Konzernabschluss der Gesellschaft einbezogenen Unternehmen die nach § 26a Absatz 1 Satz 2 des Kreditwesengesetzes erforderlichen Angaben offengelegt hat.</w:t>
      </w:r>
    </w:p>
    <w:p>
      <w:r>
        <w:t xml:space="preserve">(3) Die Pflicht nach Absatz 1 erlischt, wenn die in den Konzernabschlüssen ausgewiesenen Konzernumsatzerlöse in zwei aufeinander folgenden Geschäftsjahren jeweils 750 Millionen Euro unterschreiten.</w:t>
      </w:r>
    </w:p>
    <w:p>
      <w:r>
        <w:t xml:space="preserve">(4) Konzernumsatzerlöse nach den Absätzen 1 und 3 sind</w:t>
      </w:r>
    </w:p>
    <w:p>
      <w:pPr>
        <w:ind w:left="420"/>
      </w:pPr>
      <w:r>
        <w:t xml:space="preserve">1. bei Gesellschaften, die den Konzernabschluss nach den auf der Grundlage der Verordnung (EG) Nr. 1606/2002 übernommenen internationalen Rechnungslegungsstandards aufstellen: der Betrag der Konzernumsatzerlöse, der sich bei Anwendung dieser Rechnungslegungsstandards ergibt,</w:t>
      </w:r>
    </w:p>
    <w:p>
      <w:pPr>
        <w:ind w:left="420"/>
      </w:pPr>
      <w:r>
        <w:t xml:space="preserve">2. in Fällen, die nicht von Nummer 1 erfasst werden: der sich bei entsprechender Anwendung des § 342b Absatz 4 ergebende Betrag.</w:t>
      </w:r>
    </w:p>
    <w:p>
      <w:r>
        <w:rPr>
          <w:color w:val="555555"/>
          <w:sz w:val="17"/>
        </w:rPr>
        <w:t xml:space="preserve">Zitiervorschlag: § 342c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342c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