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342b HGB — Unverbundene Unternehmen mit Sitz im Inland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Die Mitglieder des vertretungsberechtigten Organs einer Gesellschaft im Sinne des § 342 Absatz 1 Nummer 1 haben für diese für das vergangene Geschäftsjahr einen Ertragsteuerinformationsbericht gemäß</w:t>
      </w:r>
    </w:p>
    <w:p>
      <w:pPr>
        <w:ind w:left="420"/>
      </w:pPr>
      <w:r>
        <w:t xml:space="preserve">1. § 342g Nummer 1, § 342h Absatz 1 Nummer 1 bis 3 und Absatz 2 bis 5, den §§ 342i, 342j Absatz 1 und § 342k Absatz 2 sowie</w:t>
      </w:r>
    </w:p>
    <w:p>
      <w:pPr>
        <w:ind w:left="420"/>
      </w:pPr>
      <w:r>
        <w:t xml:space="preserve">2. § 342k Absatz 1 und § 342l</w:t>
      </w:r>
    </w:p>
    <w:p>
      <w:r>
        <w:t xml:space="preserve">zu erstellen, wenn die in den Jahresabschlüssen der Gesellschaft ausgewiesenen Umsatzerlöse in mindestens zwei aufeinander folgenden Geschäftsjahren jeweils 750 Millionen Euro übersteigen.</w:t>
      </w:r>
    </w:p>
    <w:p>
      <w:r>
        <w:t xml:space="preserve">(2) Die Mitglieder des vertretungsberechtigten Organs einer Gesellschaft im Sinne des § 342 Absatz 1 Nummer 1 sind von der Pflicht nach Absatz 1 befreit, wenn die Gesellschaft ein CRR-Kreditinstitut im Sinne des § 1 Absatz 3d Satz 1 des Kreditwesengesetzes oder ein Großes Wertpapierinstitut im Sinne des § 2 Absatz 18 des Wertpapierinstitutsgesetzes ist und für den Berichtszeitraum die nach § 26a Absatz 1 Satz 2 des Kreditwesengesetzes erforderlichen Angaben offengelegt hat.</w:t>
      </w:r>
    </w:p>
    <w:p>
      <w:r>
        <w:t xml:space="preserve">(3) Die Pflicht nach Absatz 1 erlischt, wenn die in den Jahresabschlüssen ausgewiesenen Umsatzerlöse in zwei aufeinander folgenden Geschäftsjahren jeweils 750 Millionen Euro unterschreiten.</w:t>
      </w:r>
    </w:p>
    <w:p>
      <w:r>
        <w:t xml:space="preserve">(4) Umsatzerlöse nach den Absätzen 1 und 3 sind</w:t>
      </w:r>
    </w:p>
    <w:p>
      <w:pPr>
        <w:ind w:left="420"/>
      </w:pPr>
      <w:r>
        <w:t xml:space="preserve">1. bei Kreditinstituten im Sinne des § 340 Absatz 1, Finanzdienstleistungsinstituten im Sinne des § 340 Absatz 4, Wertpapierinstituten im Sinne des § 340 Absatz 4a oder Instituten im Sinne des § 1 Absatz 3 des Zahlungsdiensteaufsichtsgesetzes: der Gesamtbetrag derjenigen Posten, die nach den jeweils anwendbaren handelsrechtlichen Vorschriften den in Artikel 27 Nummer 1, 3, 4, 6 und 7 oder Artikel 28 Buchstabe B Nummer 1 bis 4 und 7 der Richtlinie 86/635/EWG genannten Posten entsprechen,</w:t>
      </w:r>
    </w:p>
    <w:p>
      <w:pPr>
        <w:ind w:left="420"/>
      </w:pPr>
      <w:r>
        <w:t xml:space="preserve">2. bei Versicherungsunternehmen im Sinne des § 341 Absatz 1 oder Pensionsfonds im Sinne des § 341 Absatz 4: der Betrag der gebuchten Bruttobeiträge nach Maßgabe der jeweils anwendbaren handelsrechtlichen Vorschriften,</w:t>
      </w:r>
    </w:p>
    <w:p>
      <w:pPr>
        <w:ind w:left="420"/>
      </w:pPr>
      <w:r>
        <w:t xml:space="preserve">3. in Fällen, die nicht von den Nummern 1 und 2 erfasst werden: der Betrag der Umsatzerlöse nach § 277 Absatz 1.</w:t>
      </w:r>
    </w:p>
    <w:p>
      <w:r>
        <w:rPr>
          <w:color w:val="555555"/>
          <w:sz w:val="17"/>
        </w:rPr>
        <w:t xml:space="preserve">Zitiervorschlag: § 342b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https://recht.nulegal.eu/gesetze/HGB/342b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