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342 HGB — Anwendungsbereich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Dieser Unterabschnitt ist anzuwenden auf Kapitalgesellschaften mit Sitz im Inland und auf Personenhandelsgesellschaften im Sinne des § 264a Absatz 1 mit Sitz im Inland, wenn diese Kapitalgesellschaften und Personenhandelsgesellschaften</w:t>
      </w:r>
    </w:p>
    <w:p>
      <w:pPr>
        <w:ind w:left="420"/>
      </w:pPr>
      <w:r>
        <w:t xml:space="preserve">1. unverbundene Unternehmen sind und eine Niederlassung, eine feste Geschäftseinrichtung oder eine dauerhafte Geschäftstätigkeit in mindestens einem anderen Staat haben,</w:t>
      </w:r>
    </w:p>
    <w:p>
      <w:pPr>
        <w:ind w:left="420"/>
      </w:pPr>
      <w:r>
        <w:t xml:space="preserve">2. oberste Mutterunternehmen sind und sie oder ein verbundenes Unternehmen eine Niederlassung, eine feste Geschäftseinrichtung oder eine dauerhafte Geschäftstätigkeit in mindestens einem anderen Staat haben oder</w:t>
      </w:r>
    </w:p>
    <w:p>
      <w:pPr>
        <w:ind w:left="420"/>
      </w:pPr>
      <w:r>
        <w:t xml:space="preserve">3. Tochterunternehmen von obersten Mutterunternehmen mit Sitz in einem Drittstaat sind und</w:t>
      </w:r>
    </w:p>
    <w:p>
      <w:pPr>
        <w:ind w:left="780"/>
      </w:pPr>
      <w:r>
        <w:t xml:space="preserve">a) mittelgroß oder groß im Sinne des § 267 Absatz 2 bis 4 sind oder</w:t>
      </w:r>
    </w:p>
    <w:p>
      <w:pPr>
        <w:ind w:left="780"/>
      </w:pPr>
      <w:r>
        <w:t xml:space="preserve">b) ausschließlich dem Zweck dienen, die Berichtspflichten nach diesem Unterabschnitt zu umgehen.</w:t>
      </w:r>
    </w:p>
    <w:p>
      <w:r>
        <w:t xml:space="preserve">(2) Dieser Unterabschnitt ist ferner anzuwenden auf Kapitalgesellschaften mit Sitz in einem Drittstaat, die</w:t>
      </w:r>
    </w:p>
    <w:p>
      <w:pPr>
        <w:ind w:left="420"/>
      </w:pPr>
      <w:r>
        <w:t xml:space="preserve">1. unverbundene Unternehmen sind oder verbundene Unternehmen sind, wenn das oberste Mutterunternehmen seinen Sitz in einem Drittstaat hat, und</w:t>
      </w:r>
    </w:p>
    <w:p>
      <w:pPr>
        <w:ind w:left="420"/>
      </w:pPr>
      <w:r>
        <w:t xml:space="preserve">2. eine Zweigniederlassung im Inland haben,</w:t>
      </w:r>
    </w:p>
    <w:p>
      <w:pPr>
        <w:ind w:left="780"/>
      </w:pPr>
      <w:r>
        <w:t xml:space="preserve">a) deren Umsatzerlöse im Sinne des § 342b Absatz 4 in mindestens zwei aufeinander folgenden Geschäftsjahren jeweils 12 Millionen Euro übersteigen und diesen Betrag danach in zwei aufeinander folgenden Geschäftsjahren jeweils nicht unterschreiten oder</w:t>
      </w:r>
    </w:p>
    <w:p>
      <w:pPr>
        <w:ind w:left="780"/>
      </w:pPr>
      <w:r>
        <w:t xml:space="preserve">b) die ausschließlich dem Zweck dient, die Berichtspflichten nach diesem Unterabschnitt zu umgehen.</w:t>
      </w:r>
    </w:p>
    <w:p>
      <w:r>
        <w:rPr>
          <w:color w:val="555555"/>
          <w:sz w:val="17"/>
        </w:rPr>
        <w:t xml:space="preserve">Zitiervorschlag: § 342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https://recht.nulegal.eu/gesetze/HGB/342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