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341k HGB</w:t>
      </w:r>
    </w:p>
    <w:p>
      <w:r>
        <w:rPr>
          <w:color w:val="555555"/>
          <w:sz w:val="18"/>
        </w:rPr>
        <w:t xml:space="preserve">Handelsgesetzbuch</w:t>
      </w:r>
    </w:p>
    <w:p>
      <w:r>
        <w:rPr>
          <w:color w:val="555555"/>
          <w:sz w:val="18"/>
        </w:rPr>
        <w:t xml:space="preserve">Stand: 01.07.2021 (konsolidierte Textfassung, kein amtliches Inkrafttretensdatum)</w:t>
      </w:r>
    </w:p>
    <w:p>
      <w:r>
        <w:t xml:space="preserve">(1) Versicherungsunternehmen haben unabhängig von ihrer Größe ihren Jahresabschluß und Lagebericht sowie ihren Konzernabschluß und Konzernlagebericht nach den Vorschriften des Dritten Unterabschnitts des Zweiten Abschnitts prüfen zu lassen. § 319 Absatz 1 Satz 2 ist nicht anzuwenden. Hat keine Prüfung stattgefunden, so kann der Jahresabschluß nicht festgestellt werden. Die Vorschriften des Dritten Unterabschnitts des Zweiten Abschnitts sind auf Versicherungsunternehmen, die Unternehmen von öffentlichem Interesse nach § 316a Satz 2 Nummer 1 oder 3 sind, nur insoweit anzuwenden, als nicht die Verordnung (EU) Nr. 537/2014 anzuwenden ist.</w:t>
      </w:r>
    </w:p>
    <w:p>
      <w:r>
        <w:t xml:space="preserve">(2) In den Fällen des § 321 Abs. 1 Satz 3 hat der Abschlußprüfer die Aufsichtsbehörde unverzüglich zu unterrichten.</w:t>
      </w:r>
    </w:p>
    <w:p>
      <w:r>
        <w:t xml:space="preserve">(3) Versicherungsunternehmen, die Unternehmen von öffentlichem Interesse nach § 316a Satz 2 Nummer 1 oder 3 sind und keinen Aufsichts- oder Verwaltungsrat haben, der die Voraussetzungen des § 100 Absatz 5 des Aktiengesetzes erfüllen muss, haben § 324 anzuwenden, auch wenn sie nicht in der Rechtsform einer Kapitalgesellschaft betrieben werden. Dies gilt für landesrechtliche öffentlich-rechtliche Versicherungsunternehmen nur, soweit das Landesrecht nichts anderes vorsieht. § 324 Absatz 3 ist auf Versicherungsunternehmen anzuwenden, auch wenn sie nicht in der Rechtsform einer Kapitalgesellschaft betrieben werden.</w:t>
      </w:r>
    </w:p>
    <w:p>
      <w:r>
        <w:rPr>
          <w:color w:val="555555"/>
          <w:sz w:val="17"/>
        </w:rPr>
        <w:t xml:space="preserve">Zitiervorschlag: § 341k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https://recht.nulegal.eu/gesetze/HGB/341k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