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341f HGB — Deckungsrückstellung</w:t>
      </w:r>
    </w:p>
    <w:p>
      <w:r>
        <w:rPr>
          <w:color w:val="555555"/>
          <w:sz w:val="18"/>
        </w:rPr>
        <w:t xml:space="preserve">Handelsgesetzbuch</w:t>
      </w:r>
    </w:p>
    <w:p>
      <w:r>
        <w:rPr>
          <w:color w:val="555555"/>
          <w:sz w:val="18"/>
        </w:rPr>
        <w:t xml:space="preserve">Stand: 10.06.2019 (konsolidierte Textfassung, kein amtliches Inkrafttretensdatum)</w:t>
      </w:r>
    </w:p>
    <w:p>
      <w:r>
        <w:t xml:space="preserve">(1) Deckungsrückstellungen sind für die Verpflichtungen aus dem Lebensversicherungs- und dem nach Art der Lebensversicherung betriebenen Versicherungsgeschäft in Höhe ihres versicherungsmathematisch errechneten Wertes einschließlich bereits zugeteilter Überschußanteile mit Ausnahme der verzinslich angesammelten Überschußanteile und nach Abzug des versicherungsmathematisch ermittelten Barwerts der künftigen Beiträge zu bilden (prospektive Methode). Ist eine Ermittlung des Wertes der künftigen Verpflichtungen und der künftigen Beiträge nicht möglich, hat die Berechnung auf Grund der aufgezinsten Einnahmen und Ausgaben der vorangegangenen Geschäftsjahre zu erfolgen (retrospektive Methode).</w:t>
      </w:r>
    </w:p>
    <w:p>
      <w:r>
        <w:t xml:space="preserve">(2) Bei der Bildung der Deckungsrückstellung sind auch gegenüber den Versicherten eingegangene Zinssatzverpflichtungen zu berücksichtigen, sofern die derzeitigen oder zu erwartenden Erträge der Vermögenswerte des Unternehmens für die Deckung dieser Verpflichtungen nicht ausreichen.</w:t>
      </w:r>
    </w:p>
    <w:p>
      <w:r>
        <w:t xml:space="preserve">(3) In der Krankenversicherung, die nach Art der Lebensversicherung betrieben wird, ist als Deckungsrückstellung eine Alterungsrückstellung zu bilden; hierunter fallen auch der Rückstellung bereits zugeführte Beträge aus der Rückstellung für Beitragsrückerstattung sowie Zuschreibungen, die dem Aufbau einer Anwartschaft auf Beitragsermäßigung im Alter dienen. Bei der Berechnung sind die für die Berechnung der Prämien geltenden aufsichtsrechtlichen Bestimmungen zu berücksichtigen.</w:t>
      </w:r>
    </w:p>
    <w:p>
      <w:r>
        <w:rPr>
          <w:color w:val="555555"/>
          <w:sz w:val="17"/>
        </w:rPr>
        <w:t xml:space="preserve">Zitiervorschlag: § 341f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https://recht.nulegal.eu/gesetze/HGB/341f</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341f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