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340o HGB — Festsetzung von Ordnungsgeld</w:t>
      </w:r>
    </w:p>
    <w:p>
      <w:r>
        <w:rPr>
          <w:color w:val="555555"/>
          <w:sz w:val="18"/>
        </w:rPr>
        <w:t xml:space="preserve">Handelsgesetzbuch</w:t>
      </w:r>
    </w:p>
    <w:p>
      <w:r>
        <w:rPr>
          <w:color w:val="555555"/>
          <w:sz w:val="18"/>
        </w:rPr>
        <w:t xml:space="preserve">Stand: 25.06.2023 (konsolidierte Textfassung, kein amtliches Inkrafttretensdatum)</w:t>
      </w:r>
    </w:p>
    <w:p>
      <w:r>
        <w:t xml:space="preserve">(1) Personen, die</w:t>
      </w:r>
    </w:p>
    <w:p>
      <w:pPr>
        <w:ind w:left="420"/>
      </w:pPr>
      <w:r>
        <w:t xml:space="preserve">1. als Geschäftsleiter im Sinne des § 1 Absatz 2 des Kreditwesengesetzes eines Kreditinstituts oder Finanzdienstleistungsinstituts im Sinne des § 340 Absatz 4 Satz 1 oder als Geschäftsleiter im Sinne des § 2 Absatz 36 des Wertpapierinstitutsgesetzes eines Wertpapierinstituts im Sinne des § 340 Absatz 4a Satz 1 oder als Geschäftsleiter im Sinne des § 1 Absatz 8 Satz 1 und 2 des Zahlungsdiensteaufsichtsgesetzes eines Instituts im Sinne des § 1 Absatz 3 des Zahlungsdiensteaufsichtsgesetzes oder als Inhaber eines in der Rechtsform des Einzelkaufmanns betriebenen Finanzdienstleistungsinstituts im Sinne des § 340 Absatz 4 Satz 1 oder Wertpapierinstituts im Sinne des § 340 Absatz 4a Satz 1 den § 340l Absatz 1 Satz 1 in Verbindung mit § 325 Absatz 1 Satz 2 und Absatz 1a bis 5 über die Pflicht zur Offenlegung des Jahresabschlusses, des Lageberichts, des Konzernabschlusses, des Konzernlageberichts und anderer Unterlagen der Rechnungslegung oder</w:t>
      </w:r>
    </w:p>
    <w:p>
      <w:pPr>
        <w:ind w:left="420"/>
      </w:pPr>
      <w:r>
        <w:t xml:space="preserve">2. als Geschäftsleiter von Zweigniederlassungen im Sinn des § 53 Abs. 1 des Kreditwesengesetzes § 340l Abs. 1 oder Abs. 2 über die Offenlegung der Rechnungslegungsunterlagen</w:t>
      </w:r>
    </w:p>
    <w:p>
      <w:r>
        <w:t xml:space="preserve">nicht befolgen, sind hierzu vom Bundesamt für Justiz durch Festsetzung von Ordnungsgeld anzuhalten.</w:t>
      </w:r>
    </w:p>
    <w:p>
      <w:r>
        <w:t xml:space="preserve">(2) Die §§ 335 bis 335b sind mit der Maßgabe entsprechend anzuwenden, dass Gesamtumsatz im Sinne des § 335 Absatz 1a Satz 1 Nummer 2 Folgendes ist:</w:t>
      </w:r>
    </w:p>
    <w:p>
      <w:pPr>
        <w:ind w:left="420"/>
      </w:pPr>
      <w:r>
        <w:t xml:space="preserve">1. im Falle von Unternehmen, die ihren Jahresabschluss nach den handelsrechtlichen Vorschriften oder dem Recht eines anderen Mitgliedstaats der Europäischen Union oder eines anderen Vertragsstaats des Abkommens über den Europäischen Wirtschaftsraum im Einklang mit der Richtlinie 86/635/EWG aufstellen, der Gesamtbetrag derjenigen Posten, die nach den auf das Unternehmen anwendbaren handelsrechtlichen Vorschriften oder nach dem auf das Unternehmen anwendbaren nationalen Recht den in Artikel 27 Nummer 1, 3, 4, 6 und 7 oder Artikel 28 Buchstabe B Nummer 1 bis 4 und 7 der Richtlinie 86/635/EWG genannten Posten entsprechen,</w:t>
      </w:r>
    </w:p>
    <w:p>
      <w:pPr>
        <w:ind w:left="420"/>
      </w:pPr>
      <w:r>
        <w:t xml:space="preserve">2. in Fällen, die nicht in Nummer 1 genannt sind, der Betrag der Umsatzerlöse, der sich bei Anwendung der Rechnungslegungsgrundsätze ergibt, die nach dem jeweiligen nationalen Recht für die Aufstellung des Jahresabschlusses des Unternehmens gelten.</w:t>
      </w:r>
    </w:p>
    <w:p>
      <w:r>
        <w:rPr>
          <w:color w:val="555555"/>
          <w:sz w:val="17"/>
        </w:rPr>
        <w:t xml:space="preserve">Zitiervorschlag: § 340o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https://recht.nulegal.eu/gesetze/HGB/340o</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