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340m HGB — Strafvorschriften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Strafvorschriften der §§ 331 bis 333 sind auch auf nicht in der Rechtsform einer Kapitalgesellschaft betriebene Kreditinstitute, auf Finanzdienstleistungsinstitute im Sinne des § 340 Absatz 4, auf Wertpapierinstitute im Sinne des § 340 Absatz 4a Satz 1 sowie auf Institute im Sinne des § 340 Absatz 5 anzuwenden. § 331 ist darüber hinaus auch anzuwenden auf die Verletzung von Pflichten durch</w:t>
      </w:r>
    </w:p>
    <w:p>
      <w:pPr>
        <w:ind w:left="420"/>
      </w:pPr>
      <w:r>
        <w:t xml:space="preserve">1. den Geschäftsleiter (§ 1 Absatz 2 des Kreditwesengesetzes) eines nicht in der Rechtsform der Kapitalgesellschaft betriebenen Kreditinstituts oder Finanzdienstleistungsinstituts im Sinne des § 340 Absatz 4 Satz 1,</w:t>
      </w:r>
    </w:p>
    <w:p>
      <w:pPr>
        <w:ind w:left="420"/>
      </w:pPr>
      <w:r>
        <w:t xml:space="preserve">1a. den Geschäftsleiter (§ 2 Absatz 36 des Wertpapierinstitutsgesetzes) eines nicht in der Rechtsform der Kapitalgesellschaft betriebenen Wertpapierinstituts im Sinne des § 340 Absatz 4a Satz 1,</w:t>
      </w:r>
    </w:p>
    <w:p>
      <w:pPr>
        <w:ind w:left="420"/>
      </w:pPr>
      <w:r>
        <w:t xml:space="preserve">2. den Geschäftsleiter (§ 1 Absatz 8 Satz 1 und 2 des Zahlungsdiensteaufsichtsgesetzes) eines nicht in der Rechtsform der Kapitalgesellschaft betriebenen Instituts im Sinne des § 340 Absatz 5,</w:t>
      </w:r>
    </w:p>
    <w:p>
      <w:pPr>
        <w:ind w:left="420"/>
      </w:pPr>
      <w:r>
        <w:t xml:space="preserve">3. den Inhaber eines in der Rechtsform des Einzelkaufmanns betriebenen Finanzdienstleistungsinstituts im Sinne des § 340 Absatz 4 Satz 1 oder Wertpapierinstituts im Sinne des § 340 Absatz 4a Satz 1 und</w:t>
      </w:r>
    </w:p>
    <w:p>
      <w:pPr>
        <w:ind w:left="420"/>
      </w:pPr>
      <w:r>
        <w:t xml:space="preserve">4. den Geschäftsleiter im Sinne des § 53 Absatz 2 Nummer 1 des Kreditwesengesetzes.</w:t>
      </w:r>
    </w:p>
    <w:p>
      <w:r>
        <w:t xml:space="preserve">(2) Mit Freiheitsstrafe bis zu einem Jahr oder mit Geldstrafe wird bestraft, wer als Mitglied eines nach § 340k Absatz 5 Satz 1 in Verbindung mit § 324 Absatz 1 Satz 1 eingerichteten Prüfungsausschusses eines Kreditinstituts im Sinne des § 340 Absatz 1 Satz 1, eines Finanzdienstleistungsinstituts im Sinne des § 340 Absatz 4 Satz 1, eines Wertpapierinstituts im Sinne des § 340 Absatz 4a Satz 1 oder eines Instituts im Sinne des § 1 Absatz 3 des Zahlungsdiensteaufsichtsgesetzes</w:t>
      </w:r>
    </w:p>
    <w:p>
      <w:pPr>
        <w:ind w:left="420"/>
      </w:pPr>
      <w:r>
        <w:t xml:space="preserve">1. eine in § 340n Absatz 2a bezeichnete Handlung begeht und dafür einen Vermögensvorteil erhält oder sich versprechen lässt oder</w:t>
      </w:r>
    </w:p>
    <w:p>
      <w:pPr>
        <w:ind w:left="420"/>
      </w:pPr>
      <w:r>
        <w:t xml:space="preserve">2. eine in § 340n Absatz 2a bezeichnete Handlung beharrlich wiederholt.</w:t>
      </w:r>
    </w:p>
    <w:p>
      <w:r>
        <w:t xml:space="preserve">(3) § 335c Absatz 2 gilt in den Fällen des Absatzes 1 Satz 1 in Verbindung mit § 332 oder § 333 und des Absatzes 2 entsprechend.</w:t>
      </w:r>
    </w:p>
    <w:p>
      <w:r>
        <w:rPr>
          <w:color w:val="555555"/>
          <w:sz w:val="17"/>
        </w:rPr>
        <w:t xml:space="preserve">Zitiervorschlag: § 340m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https://recht.nulegal.eu/gesetze/HGB/340m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