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336 HGB — Pflicht zur Aufstellung von Jahresabschluß und Lagebericht</w:t>
      </w:r>
    </w:p>
    <w:p>
      <w:r>
        <w:rPr>
          <w:color w:val="555555"/>
          <w:sz w:val="18"/>
        </w:rPr>
        <w:t xml:space="preserve">Handelsgesetzbuch</w:t>
      </w:r>
    </w:p>
    <w:p>
      <w:r>
        <w:rPr>
          <w:color w:val="555555"/>
          <w:sz w:val="18"/>
        </w:rPr>
        <w:t xml:space="preserve">Stand: 06.09.2022 (konsolidierte Textfassung, kein amtliches Inkrafttretensdatum)</w:t>
      </w:r>
    </w:p>
    <w:p>
      <w:r>
        <w:t xml:space="preserve">(1) Der Vorstand einer Genossenschaft hat den Jahresabschluß (§ 242) um einen Anhang zu erweitern, der mit der Bilanz und der Gewinn- und Verlustrechnung eine Einheit bildet, sowie einen Lagebericht aufzustellen. Der Jahresabschluß und der Lagebericht sind in den ersten fünf Monaten des Geschäftsjahrs für das vergangene Geschäftsjahr aufzustellen. Ist die Genossenschaft kapitalmarktorientiert im Sinne des § 264d und begibt sie nicht ausschließlich die von § 327a erfassten Schuldtitel, beträgt die Frist nach Satz 2 vier Monate.</w:t>
      </w:r>
    </w:p>
    <w:p>
      <w:r>
        <w:t xml:space="preserve">(2) Auf den Jahresabschluss und den Lagebericht sind, soweit in diesem Abschnitt nichts anderes bestimmt ist, die folgenden Vorschriften entsprechend anzuwenden:</w:t>
      </w:r>
    </w:p>
    <w:p>
      <w:pPr>
        <w:ind w:left="420"/>
      </w:pPr>
      <w:r>
        <w:t xml:space="preserve">1. § 264 Absatz 1 Satz 4 erster Halbsatz und Absatz 1a, 2,</w:t>
      </w:r>
    </w:p>
    <w:p>
      <w:pPr>
        <w:ind w:left="420"/>
      </w:pPr>
      <w:r>
        <w:t xml:space="preserve">2. die §§ 265 bis 289e, mit Ausnahme von § 277 Absatz 3 Satz 1 und § 285 Nummer 17,</w:t>
      </w:r>
    </w:p>
    <w:p>
      <w:pPr>
        <w:ind w:left="420"/>
      </w:pPr>
      <w:r>
        <w:t xml:space="preserve">3. § 289f Absatz 4 nach Maßgabe des § 9 Absatz 3 und 4 des Genossenschaftsgesetzes.</w:t>
      </w:r>
    </w:p>
    <w:p>
      <w:r>
        <w:t xml:space="preserve">Sonstige Vorschriften, die durch den Geschäftszweig bedingt sind, bleiben unberührt. Genossenschaften, die die Merkmale für Kleinstkapitalgesellschaften nach § 267a Absatz 1 erfüllen (Kleinstgenossenschaften), dürfen auch die Erleichterungen für Kleinstkapitalgesellschaften nach näherer Maßgabe des § 337 Absatz 4 und § 338 Absatz 4 anwenden.</w:t>
      </w:r>
    </w:p>
    <w:p>
      <w:r>
        <w:t xml:space="preserve">(3) § 330 Abs. 1 über den Erlaß von Rechtsverordnungen ist entsprechend anzuwenden.</w:t>
      </w:r>
    </w:p>
    <w:p>
      <w:r>
        <w:rPr>
          <w:color w:val="555555"/>
          <w:sz w:val="17"/>
        </w:rPr>
        <w:t xml:space="preserve">Zitiervorschlag: § 336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