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335c HGB — Mitteilungen an die Abschlussprüferaufsichtsstelle</w:t>
      </w:r>
    </w:p>
    <w:p>
      <w:r>
        <w:rPr>
          <w:color w:val="555555"/>
          <w:sz w:val="18"/>
        </w:rPr>
        <w:t xml:space="preserve">Handelsgesetzbuch</w:t>
      </w:r>
    </w:p>
    <w:p>
      <w:r>
        <w:rPr>
          <w:color w:val="555555"/>
          <w:sz w:val="18"/>
        </w:rPr>
        <w:t xml:space="preserve">Stand: 01.07.2021 (konsolidierte Textfassung, kein amtliches Inkrafttretensdatum)</w:t>
      </w:r>
    </w:p>
    <w:p>
      <w:r>
        <w:t xml:space="preserve">(1) Das Bundesamt für Justiz übermittelt der Abschlussprüferaufsichtsstelle beim Bundesamt für Wirtschaft und Ausfuhrkontrolle alle Bußgeldentscheidungen nach § 334 Absatz 2a.</w:t>
      </w:r>
    </w:p>
    <w:p>
      <w:r>
        <w:t xml:space="preserve">(2) In Strafverfahren, die eine Straftat nach den §§ 332, 333 oder § 333a zum Gegenstand haben, übermittelt die Staatsanwaltschaft im Falle der Erhebung der öffentlichen Klage der Abschlussprüferaufsichtsstelle die das Verfahren abschließende Entscheidung. Ist gegen die Entscheidung ein Rechtsmittel eingelegt worden, ist die Entscheidung unter Hinweis auf das eingelegte Rechtsmittel zu übermitteln.</w:t>
      </w:r>
    </w:p>
    <w:p>
      <w:r>
        <w:rPr>
          <w:color w:val="555555"/>
          <w:sz w:val="17"/>
        </w:rPr>
        <w:t xml:space="preserve">Zitiervorschlag: § 335c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https://recht.nulegal.eu/gesetze/HGB/335c</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335c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