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335b HGB — Anwendung der Straf- und Bußgeld- sowie der Ordnungsgeldvorschriften auf bestimmte offene Handelsgesellschaften und Kommanditgesellschaften</w:t>
      </w:r>
    </w:p>
    <w:p>
      <w:r>
        <w:rPr>
          <w:color w:val="555555"/>
          <w:sz w:val="18"/>
        </w:rPr>
        <w:t xml:space="preserve">Handelsgesetzbuch</w:t>
      </w:r>
    </w:p>
    <w:p>
      <w:r>
        <w:rPr>
          <w:color w:val="555555"/>
          <w:sz w:val="18"/>
        </w:rPr>
        <w:t xml:space="preserve">Stand: 10.06.2019 (konsolidierte Textfassung, kein amtliches Inkrafttretensdatum)</w:t>
      </w:r>
    </w:p>
    <w:p>
      <w:r>
        <w:t xml:space="preserve">Die Strafvorschriften der §§ 331 bis 333a, die Bußgeldvorschrift des § 334 sowie die Ordnungsgeldvorschrift des § 335 gelten auch für offene Handelsgesellschaften und Kommanditgesellschaften im Sinn des § 264a Abs. 1. Das Verfahren nach § 335 ist in diesem Fall gegen die persönlich haftenden Gesellschafter oder gegen die Mitglieder der vertretungsberechtigten Organe der persönlich haftenden Gesellschafter zu richten. Es kann auch gegen die offene Handelsgesellschaft oder gegen die Kommanditgesellschaft gerichtet werden. § 335a ist entsprechend anzuwenden.</w:t>
      </w:r>
    </w:p>
    <w:p>
      <w:r>
        <w:rPr>
          <w:color w:val="555555"/>
          <w:sz w:val="17"/>
        </w:rPr>
        <w:t xml:space="preserve">Zitiervorschlag: § 335b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https://recht.nulegal.eu/gesetze/HGB/335b</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335b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