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333a HGB — Verletzung der Pflichten bei Abschlussprüfungen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als Mitglied eines nach § 324 Absatz 1 Satz 1 eingerichteten Prüfungsausschusses</w:t>
      </w:r>
    </w:p>
    <w:p>
      <w:pPr>
        <w:ind w:left="420"/>
      </w:pPr>
      <w:r>
        <w:t xml:space="preserve">1. eine in § 334 Absatz 2a bezeichnete Handlung begeht und dafür einen Vermögensvorteil erhält oder sich versprechen lässt oder</w:t>
      </w:r>
    </w:p>
    <w:p>
      <w:pPr>
        <w:ind w:left="420"/>
      </w:pPr>
      <w:r>
        <w:t xml:space="preserve">2. eine in § 334 Absatz 2a bezeichnete Handlung beharrlich wiederholt.</w:t>
      </w:r>
    </w:p>
    <w:p>
      <w:r>
        <w:rPr>
          <w:color w:val="555555"/>
          <w:sz w:val="17"/>
        </w:rPr>
        <w:t xml:space="preserve">Zitiervorschlag: § 333a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https://recht.nulegal.eu/gesetze/HGB/333a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