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 HGB — Unrichtige Darstellung</w:t>
      </w:r>
    </w:p>
    <w:p>
      <w:r>
        <w:rPr>
          <w:color w:val="555555"/>
          <w:sz w:val="18"/>
        </w:rPr>
        <w:t xml:space="preserve">Handelsgesetzbuch</w:t>
      </w:r>
    </w:p>
    <w:p>
      <w:r>
        <w:rPr>
          <w:color w:val="555555"/>
          <w:sz w:val="18"/>
        </w:rPr>
        <w:t xml:space="preserve">Stand: 14.10.2023 (konsolidierte Textfassung, kein amtliches Inkrafttretensdatum)</w:t>
      </w:r>
    </w:p>
    <w:p>
      <w:r>
        <w:t xml:space="preserve">(1) Mit Freiheitsstrafe bis zu drei Jahren oder mit Geldstrafe wird bestraft, wer</w:t>
      </w:r>
    </w:p>
    <w:p>
      <w:pPr>
        <w:ind w:left="420"/>
      </w:pPr>
      <w:r>
        <w:t xml:space="preserve">1. als Mitglied des vertretungsberechtigten Organs oder des Aufsichtsrats einer Kapitalgesellschaft die Verhältnisse der Kapitalgesellschaft in der Eröffnungsbilanz, im Jahresabschluß, im Lagebericht einschließlich der nichtfinanziellen Erklärung, im gesonderten nichtfinanziellen Bericht oder im Zwischenabschluß nach § 340a Abs. 3 unrichtig wiedergibt oder verschleiert,</w:t>
      </w:r>
    </w:p>
    <w:p>
      <w:pPr>
        <w:ind w:left="420"/>
      </w:pPr>
      <w:r>
        <w:t xml:space="preserve">1a. als Mitglied des vertretungsberechtigten Organs einer Kapitalgesellschaft zum Zwecke der Befreiung nach § 325 Abs. 2a Satz 1, Abs. 2b einen Einzelabschluss nach den in § 315e Absatz 1 genannten internationalen Rechnungslegungsstandards, in dem die Verhältnisse der Kapitalgesellschaft unrichtig wiedergegeben oder verschleiert worden sind, offen legt,</w:t>
      </w:r>
    </w:p>
    <w:p>
      <w:pPr>
        <w:ind w:left="420"/>
      </w:pPr>
      <w:r>
        <w:t xml:space="preserve">2. als Mitglied des vertretungsberechtigten Organs oder des Aufsichtsrats einer Kapitalgesellschaft die Verhältnisse des Konzerns im Konzernabschluß, im Konzernlagebericht einschließlich der nichtfinanziellen Konzernerklärung, im gesonderten nichtfinanziellen Konzernbericht oder im Konzernzwischenabschluß nach § 340i Abs. 4 unrichtig wiedergibt oder verschleiert,</w:t>
      </w:r>
    </w:p>
    <w:p>
      <w:pPr>
        <w:ind w:left="420"/>
      </w:pPr>
      <w:r>
        <w:t xml:space="preserve">3. als Mitglied des vertretungsberechtigten Organs einer Kapitalgesellschaft zum Zwecke der Befreiung nach § 291 Abs. 1 und 2 oder nach § 292 einen Konzernabschluß oder Konzernlagebericht, in dem die Verhältnisse des Konzerns unrichtig wiedergegeben oder verschleiert worden sind, offenlegt oder</w:t>
      </w:r>
    </w:p>
    <w:p>
      <w:pPr>
        <w:ind w:left="420"/>
      </w:pPr>
      <w:r>
        <w:t xml:space="preserve">3a. (weggefallen)</w:t>
      </w:r>
    </w:p>
    <w:p>
      <w:pPr>
        <w:ind w:left="420"/>
      </w:pPr>
      <w:r>
        <w:t xml:space="preserve">4. als Mitglied des vertretungsberechtigten Organs einer Kapitalgesellschaft oder als Mitglied des vertretungsberechtigten Organs oder als vertretungsberechtigter Gesellschafter eines ihrer Tochterunternehmen (§ 290 Abs. 1, 2) in Aufklärungen oder Nachweisen, die nach § 320 einem Abschlußprüfer der Kapitalgesellschaft, eines verbundenen Unternehmens oder des Konzerns zu geben sind, unrichtige Angaben macht oder die Verhältnisse der Kapitalgesellschaft, eines Tochterunternehmens oder des Konzerns unrichtig wiedergibt oder verschleiert.</w:t>
      </w:r>
    </w:p>
    <w:p>
      <w:r>
        <w:t xml:space="preserve">(2) Handelt der Täter in den Fällen des Absatzes 1 Nummer 1a oder 3 leichtfertig, so ist die Strafe Freiheitsstrafe bis zu einem Jahr oder Geldstrafe.</w:t>
      </w:r>
    </w:p>
    <w:p>
      <w:r>
        <w:rPr>
          <w:color w:val="555555"/>
          <w:sz w:val="17"/>
        </w:rPr>
        <w:t xml:space="preserve">Zitiervorschlag: § 331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