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326 HGB — Größenabhängige Erleichterungen für kleine Kapitalgesellschaften und Kleinstkapitalgesellschaften bei der Offenlegung</w:t>
      </w:r>
    </w:p>
    <w:p>
      <w:r>
        <w:rPr>
          <w:color w:val="555555"/>
          <w:sz w:val="18"/>
        </w:rPr>
        <w:t xml:space="preserve">Handelsgesetzbuch</w:t>
      </w:r>
    </w:p>
    <w:p>
      <w:r>
        <w:rPr>
          <w:color w:val="555555"/>
          <w:sz w:val="18"/>
        </w:rPr>
        <w:t xml:space="preserve">Stand: 25.06.2023 (konsolidierte Textfassung, kein amtliches Inkrafttretensdatum)</w:t>
      </w:r>
    </w:p>
    <w:p>
      <w:r>
        <w:t xml:space="preserve">(1) Auf kleine Kapitalgesellschaften (§ 267 Abs. 1) ist § 325 Abs. 1 mit der Maßgabe anzuwenden, daß die Mitglieder des vertretungsberechtigten Organs nur die Bilanz und den Anhang zu übermitteln haben. Der Anhang braucht die die Gewinn- und Verlustrechnung betreffenden Angaben nicht zu enthalten.</w:t>
      </w:r>
    </w:p>
    <w:p>
      <w:r>
        <w:t xml:space="preserve">(2) Auf Kleinstkapitalgesellschaften (§ 267a) ist § 325 Absatz 1 mit der Maßgabe anzuwenden, dass die Mitglieder des vertretungsberechtigten Organs nur die Bilanz zu übermitteln haben und dabei die Einstellung in das Unternehmensregister durch dauerhafte Hinterlegung verlangen können. Kleinstkapitalgesellschaften dürfen von dem in Satz 1 geregelten Recht nur Gebrauch machen, wenn sie gegenüber der das Unternehmensregister führenden Stelle mitteilen, dass sie zwei der drei in § 267a Absatz 1 genannten Merkmale für die nach § 267 Absatz 4 maßgeblichen Abschlussstichtage nicht überschreiten.</w:t>
      </w:r>
    </w:p>
    <w:p>
      <w:r>
        <w:rPr>
          <w:color w:val="555555"/>
          <w:sz w:val="17"/>
        </w:rPr>
        <w:t xml:space="preserve">Zitiervorschlag: § 326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