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323 HGB — Verantwortlichkeit des Abschlußprüfers</w:t>
      </w:r>
    </w:p>
    <w:p>
      <w:r>
        <w:rPr>
          <w:color w:val="555555"/>
          <w:sz w:val="18"/>
        </w:rPr>
        <w:t xml:space="preserve">Handelsgesetzbuch</w:t>
      </w:r>
    </w:p>
    <w:p>
      <w:r>
        <w:rPr>
          <w:color w:val="555555"/>
          <w:sz w:val="18"/>
        </w:rPr>
        <w:t xml:space="preserve">Stand: 01.07.2021 (konsolidierte Textfassung, kein amtliches Inkrafttretensdatum)</w:t>
      </w:r>
    </w:p>
    <w:p>
      <w:r>
        <w:t xml:space="preserve">(1) Der Abschlußprüfer, seine Gehilfen und die bei der Prüfung mitwirkenden gesetzlichen Vertreter einer Prüfungsgesellschaft sind zur gewissenhaften und unparteiischen Prüfung und zur Verschwiegenheit verpflichtet; gesetzliche Mitteilungspflichten bleiben unberührt. Sie dürfen nicht unbefugt Geschäfts- und Betriebsgeheimnisse verwerten, die sie bei ihrer Tätigkeit erfahren haben. Wer vorsätzlich oder fahrlässig seine Pflichten verletzt, ist der Kapitalgesellschaft und, wenn ein verbundenes Unternehmen geschädigt worden ist, auch diesem zum Ersatz des daraus entstehenden Schadens verpflichtet. Mehrere Personen haften als Gesamtschuldner.</w:t>
      </w:r>
    </w:p>
    <w:p>
      <w:r>
        <w:t xml:space="preserve">(2) Die Ersatzpflicht der in Absatz 1 Satz 1 genannten Personen für eine Prüfung ist vorbehaltlich der Sätze 2 bis 4 wie folgt beschränkt:</w:t>
      </w:r>
    </w:p>
    <w:p>
      <w:pPr>
        <w:ind w:left="420"/>
      </w:pPr>
      <w:r>
        <w:t xml:space="preserve">1. bei Kapitalgesellschaften, die ein Unternehmen von öffentlichem Interesse nach § 316a Satz 2 Nummer 1 sind: auf sechzehn Millionen Euro;</w:t>
      </w:r>
    </w:p>
    <w:p>
      <w:pPr>
        <w:ind w:left="420"/>
      </w:pPr>
      <w:r>
        <w:t xml:space="preserve">2. bei Kapitalgesellschaften, die ein Unternehmen von öffentlichem Interesse nach § 316a Satz 2 Nummer 2 oder 3, aber nicht nach § 316a Satz 2 Nummer 1 sind: auf vier Millionen Euro;</w:t>
      </w:r>
    </w:p>
    <w:p>
      <w:pPr>
        <w:ind w:left="420"/>
      </w:pPr>
      <w:r>
        <w:t xml:space="preserve">3. bei Kapitalgesellschaften, die nicht in den Nummern 1 und 2 genannt sind: auf eine Million fünfhunderttausend Euro.</w:t>
      </w:r>
    </w:p>
    <w:p>
      <w:r>
        <w:t xml:space="preserve">Dies gilt nicht für Personen, die vorsätzlich gehandelt haben, und für den Abschlussprüfer einer Kapitalgesellschaft nach Satz 1 Nummer 1, der grob fahrlässig gehandelt hat. Die Ersatzpflicht des Abschlussprüfers einer Kapitalgesellschaft nach Satz 1 Nummer 2, der grob fahrlässig gehandelt hat, ist abweichend von Satz 1 Nummer 2 auf zweiunddreißig Millionen Euro für eine Prüfung beschränkt. Die Ersatzpflicht des Abschlussprüfers einer Kapitalgesellschaft nach Satz 1 Nummer 3, der grob fahrlässig gehandelt hat, ist abweichend von Satz 1 Nummer 3 auf zwölf Millionen Euro für eine Prüfung beschränkt. Die Haftungshöchstgrenzen nach den Sätzen 1, 3 und 4 gelten auch, wenn an der Prüfung mehrere Personen beteiligt gewesen oder mehrere zum Ersatz verpflichtende Handlungen begangen worden sind, und ohne Rücksicht darauf, ob andere Beteiligte vorsätzlich oder grob fahrlässig gehandelt haben.</w:t>
      </w:r>
    </w:p>
    <w:p>
      <w:r>
        <w:t xml:space="preserve">(3) Die Verpflichtung zur Verschwiegenheit besteht, wenn eine Prüfungsgesellschaft Abschlußprüfer ist, auch gegenüber dem Aufsichtsrat und den Mitgliedern des Aufsichtsrats der Prüfungsgesellschaft.</w:t>
      </w:r>
    </w:p>
    <w:p>
      <w:r>
        <w:t xml:space="preserve">(4) Die Ersatzpflicht nach diesen Vorschriften kann durch Vertrag weder ausgeschlossen noch beschränkt werden.</w:t>
      </w:r>
    </w:p>
    <w:p>
      <w:r>
        <w:t xml:space="preserve">(5) Die Mitteilung nach Artikel 7 Unterabsatz 2 der Verordnung (EU) Nr. 537/2014 ist an die Bundesanstalt für Finanzdienstleistungsaufsicht zu richten, bei dem Verdacht einer Straftat oder Ordnungswidrigkeit auch an die für die Verfolgung jeweils zuständige Behörde.</w:t>
      </w:r>
    </w:p>
    <w:p>
      <w:r>
        <w:rPr>
          <w:color w:val="555555"/>
          <w:sz w:val="17"/>
        </w:rPr>
        <w:t xml:space="preserve">Zitiervorschlag: § 323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https://recht.nulegal.eu/gesetze/HGB/323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