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315e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Ist ein Mutterunternehmen, das nach den Vorschriften des Ersten Titels einen Konzernabschluss aufzustellen hat, nach Artikel 4 der Verordnung (EG) Nr. 1606/2002 des Europäischen Parlaments und des Rates vom 19. Juli 2002 betreffend die Anwendung internationaler Rechnungslegungsstandards (ABl. L 243 vom 11.9.2002, S. 1), die zuletzt durch die Verordnung (EG) Nr. 297/2008 (ABl. L 97 vom 9.4.2008, S. 62) geändert worden ist, verpflichtet, die nach den Artikeln 2, 3 und 6 der genannten Verordnung übernommenen internationalen Rechnungslegungsstandards anzuwenden, so sind von den Vorschriften des Zweiten bis Achten Titels nur § 294 Abs. 3, § 297 Absatz 1a, 2 Satz 4, § 298 Abs. 1, dieser jedoch nur in Verbindung mit den §§ 244 und 245, ferner § 313 Abs. 2 und 3, § 314 Abs. 1 Nr. 4, 6, 8 und 9, Absatz 3 sowie die Bestimmungen des Neunten Titels und die Vorschriften außerhalb dieses Unterabschnitts, die den Konzernabschluss oder den Konzernlagebericht betreffen, entsprechend anzuwenden.</w:t>
      </w:r>
    </w:p>
    <w:p>
      <w:r>
        <w:t xml:space="preserve">(2) Mutterunternehmen, die nicht unter Absatz 1 fallen, haben ihren Konzernabschluss nach den dort genannten internationalen Rechnungslegungsstandards und Vorschriften aufzustellen, wenn für sie bis zum jeweiligen Bilanzstichtag die Zulassung eines Wertpapiers im Sinne des § 2 Absatz 1 des Wertpapierhandelsgesetzes zum Handel an einem organisierten Markt im Sinne des § 2 Absatz 11 des Wertpapierhandelsgesetzes im Inland beantragt worden ist.</w:t>
      </w:r>
    </w:p>
    <w:p>
      <w:r>
        <w:t xml:space="preserve">(3) Mutterunternehmen, die nicht unter Absatz 1 oder 2 fallen, dürfen ihren Konzernabschluss nach den in Absatz 1 genannten internationalen Rechnungslegungsstandards und Vorschriften aufstellen. Ein Unternehmen, das von diesem Wahlrecht Gebrauch macht, hat die in Absatz 1 genannten Standards und Vorschriften vollständig zu befolgen.</w:t>
      </w:r>
    </w:p>
    <w:p>
      <w:r>
        <w:rPr>
          <w:color w:val="555555"/>
          <w:sz w:val="17"/>
        </w:rPr>
        <w:t xml:space="preserve">Zitiervorschlag: § 315e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https://recht.nulegal.eu/gesetze/HGB/315e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