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314 HGB — Sonstige Pflichtangaben</w:t>
      </w:r>
    </w:p>
    <w:p>
      <w:r>
        <w:rPr>
          <w:color w:val="555555"/>
          <w:sz w:val="18"/>
        </w:rPr>
        <w:t xml:space="preserve">Handelsgesetzbuch</w:t>
      </w:r>
    </w:p>
    <w:p>
      <w:r>
        <w:rPr>
          <w:color w:val="555555"/>
          <w:sz w:val="18"/>
        </w:rPr>
        <w:t xml:space="preserve">Stand: 28.12.2023 (konsolidierte Textfassung, kein amtliches Inkrafttretensdatum)</w:t>
      </w:r>
    </w:p>
    <w:p>
      <w:r>
        <w:t xml:space="preserve">(1) Im Konzernanhang sind ferner anzugeben:</w:t>
      </w:r>
    </w:p>
    <w:p>
      <w:pPr>
        <w:ind w:left="420"/>
      </w:pPr>
      <w:r>
        <w:t xml:space="preserve">1. der Gesamtbetrag der in der Konzernbilanz ausgewiesenen Verbindlichkeiten mit einer Restlaufzeit von mehr als fünf Jahren sowie der Gesamtbetrag der in der Konzernbilanz ausgewiesenen Verbindlichkeiten, die von in den Konzernabschluß einbezogenen Unternehmen durch Pfandrechte oder ähnliche Rechte gesichert sind, unter Angabe von Art und Form der Sicherheiten;</w:t>
      </w:r>
    </w:p>
    <w:p>
      <w:pPr>
        <w:ind w:left="420"/>
      </w:pPr>
      <w:r>
        <w:t xml:space="preserve">2. Art und Zweck sowie Risiken, Vorteile und finanzielle Auswirkungen von nicht in der Konzernbilanz enthaltenen Geschäften des Mutterunternehmens und der in den Konzernabschluss einbezogenen Tochterunternehmen, soweit die Risiken und Vorteile wesentlich sind und die Offenlegung für die Beurteilung der Finanzlage des Konzerns erforderlich ist;</w:t>
      </w:r>
    </w:p>
    <w:p>
      <w:pPr>
        <w:ind w:left="420"/>
      </w:pPr>
      <w:r>
        <w:t xml:space="preserve">2a. der Gesamtbetrag der sonstigen finanziellen Verpflichtungen, die nicht in der Konzernbilanz enthalten sind und die nicht nach § 298 Absatz 1 in Verbindung mit § 268 Absatz 7 oder nach Nummer 2 anzugeben sind, sofern diese Angabe für die Beurteilung der Finanzlage des Konzerns von Bedeutung ist; davon sind Verpflichtungen betreffend die Altersversorgung sowie Verpflichtungen gegenüber Tochterunternehmen, die nicht in den Konzernabschluss einbezogen werden, oder gegenüber assoziierten Unternehmen jeweils gesondert anzugeben;</w:t>
      </w:r>
    </w:p>
    <w:p>
      <w:pPr>
        <w:ind w:left="420"/>
      </w:pPr>
      <w:r>
        <w:t xml:space="preserve">3. die Aufgliederung der Umsatzerlöse des Konzerns nach Tätigkeitsbereichen sowie nach geografisch bestimmten Märkten, soweit sich unter Berücksichtigung der Organisation des Verkaufs, der Vermietung oder Verpachtung von Produkten und der Erbringung von Dienstleistungen des Konzerns die Tätigkeitsbereiche und geografisch bestimmten Märkte untereinander erheblich unterscheiden;</w:t>
      </w:r>
    </w:p>
    <w:p>
      <w:pPr>
        <w:ind w:left="420"/>
      </w:pPr>
      <w:r>
        <w:t xml:space="preserve">4. die durchschnittliche Zahl der Arbeitnehmer der in den Konzernabschluss einbezogenen Unternehmen während des Geschäftsjahrs, getrennt nach Gruppen und gesondert für die nach § 310 nur anteilmäßig konsolidierten Unternehmen, sowie, falls er nicht gesondert in der Konzern-Gewinn- und Verlustrechnung ausgewiesen ist, der in dem Geschäftsjahr entstandene gesamte Personalaufwand, aufgeschlüsselt nach Löhnen und Gehältern, Kosten der sozialen Sicherheit und Kosten der Altersversorgung;</w:t>
      </w:r>
    </w:p>
    <w:p>
      <w:pPr>
        <w:ind w:left="420"/>
      </w:pPr>
      <w:r>
        <w:t xml:space="preserve">5. (weggefallen)</w:t>
      </w:r>
    </w:p>
    <w:p>
      <w:pPr>
        <w:ind w:left="420"/>
      </w:pPr>
      <w:r>
        <w:t xml:space="preserve">6. für die Mitglieder des Geschäftsführungsorgans, eines Aufsichtsrats, eines Beirats oder einer ähnlichen Einrichtung des Mutterunternehmens, jeweils für jede Personengruppe:</w:t>
      </w:r>
    </w:p>
    <w:p>
      <w:pPr>
        <w:ind w:left="780"/>
      </w:pPr>
      <w:r>
        <w:t xml:space="preserve">a) die für die Wahrnehmung ihrer Aufgaben im Mutterunternehmen und den Tochterunternehmen im Geschäftsjahr gewährten Gesamtbezüge (Gehälter, Gewinnbeteiligungen, Bezugsrechte und sonstige aktienbasierte Vergütungen, Aufwandsentschädigungen, Versicherungsentgelte, Provisionen und Nebenleistungen jeder Art). In die Gesamtbezüge sind auch Bezüge einzurechnen, die nicht ausgezahlt, sondern in Ansprüche anderer Art umgewandelt oder zur Erhöhung anderer Ansprüche verwendet werden. Außer den Bezügen für das Geschäftsjahr sind die weiteren Bezüge anzugeben, die im Geschäftsjahr gewährt, bisher aber in keinem Konzernabschluss angegeben worden sind. Bezugsrechte und sonstige aktienbasierte Vergütungen sind mit ihrer Anzahl und dem beizulegenden Zeitwert zum Zeitpunkt ihrer Gewährung anzugeben; spätere Wertveränderungen, die auf einer Änderung der Ausübungsbedingungen beruhen, sind zu berücksichtigen;</w:t>
      </w:r>
    </w:p>
    <w:p>
      <w:pPr>
        <w:ind w:left="780"/>
      </w:pPr>
      <w:r>
        <w:t xml:space="preserve">b) die für die Wahrnehmung ihrer Aufgaben im Mutterunternehmen und den Tochterunternehmen gewährten Gesamtbezüge (Abfindungen, Ruhegehälter, Hinterbliebenenbezüge und Leistungen verwandter Art) der früheren Mitglieder der bezeichneten Organe und ihrer Hinterbliebenen; Buchstabe a Satz 2 und 3 ist entsprechend anzuwenden. Ferner ist der Betrag der für diese Personengruppe gebildeten Rückstellungen für laufende Pensionen und Anwartschaften auf Pensionen und der Betrag der für diese Verpflichtungen nicht gebildeten Rückstellungen anzugeben;</w:t>
      </w:r>
    </w:p>
    <w:p>
      <w:pPr>
        <w:ind w:left="780"/>
      </w:pPr>
      <w:r>
        <w:t xml:space="preserve">c) die vom Mutterunternehmen und den Tochterunternehmen gewährten Vorschüsse und Kredite unter Angabe der gegebenenfalls im Geschäftsjahr zurückgezahlten oder erlassenen Beträge sowie die zugunsten dieser Personen eingegangenen Haftungsverhältnisse;</w:t>
      </w:r>
    </w:p>
    <w:p>
      <w:pPr>
        <w:ind w:left="420"/>
      </w:pPr>
      <w:r>
        <w:t xml:space="preserve">7. der Bestand an Anteilen an dem Mutterunternehmen, die das Mutterunternehmen oder ein Tochterunternehmen oder ein anderer für Rechnung eines in den Konzernabschluß einbezogenen Unternehmens erworben oder als Pfand genommen hat; dabei sind die Zahl und der Nennbetrag oder rechnerische Wert dieser Anteile sowie deren Anteil am Kapital anzugeben;</w:t>
      </w:r>
    </w:p>
    <w:p>
      <w:pPr>
        <w:ind w:left="420"/>
      </w:pPr>
      <w:r>
        <w:t xml:space="preserve">7a. die Zahl der Aktien jeder Gattung der während des Geschäftsjahrs im Rahmen des genehmigten Kapitals gezeichneten Aktien des Mutterunternehmens, wobei zu Nennbetragsaktien der Nennbetrag und zu Stückaktien der rechnerische Wert für jede von ihnen anzugeben ist;</w:t>
      </w:r>
    </w:p>
    <w:p>
      <w:pPr>
        <w:ind w:left="420"/>
      </w:pPr>
      <w:r>
        <w:t xml:space="preserve">7b. das Bestehen von Genussscheinen, Wandelschuldverschreibungen, Optionsscheinen, Optionen oder vergleichbaren Wertpapieren oder Rechten, aus denen das Mutterunternehmen verpflichtet ist, unter Angabe der Anzahl und der Rechte, die sie verbriefen;</w:t>
      </w:r>
    </w:p>
    <w:p>
      <w:pPr>
        <w:ind w:left="420"/>
      </w:pPr>
      <w:r>
        <w:t xml:space="preserve">8. für jedes in den Konzernabschluss einbezogene börsennotierte Unternehmen, dass die nach § 161 des Aktiengesetzes vorgeschriebene Erklärung abgegeben und wo sie öffentlich zugänglich gemacht worden ist;</w:t>
      </w:r>
    </w:p>
    <w:p>
      <w:pPr>
        <w:ind w:left="420"/>
      </w:pPr>
      <w:r>
        <w:t xml:space="preserve">9. das von dem Abschlussprüfer des Konzernabschlusses für das Geschäftsjahr berechnete Gesamthonorar, aufgeschlüsselt in das Honorar für</w:t>
      </w:r>
    </w:p>
    <w:p>
      <w:pPr>
        <w:ind w:left="780"/>
      </w:pPr>
      <w:r>
        <w:t xml:space="preserve">a) die Abschlussprüfungsleistungen,</w:t>
      </w:r>
    </w:p>
    <w:p>
      <w:pPr>
        <w:ind w:left="780"/>
      </w:pPr>
      <w:r>
        <w:t xml:space="preserve">b) andere Bestätigungsleistungen,</w:t>
      </w:r>
    </w:p>
    <w:p>
      <w:pPr>
        <w:ind w:left="780"/>
      </w:pPr>
      <w:r>
        <w:t xml:space="preserve">c) Steuerberatungsleistungen,</w:t>
      </w:r>
    </w:p>
    <w:p>
      <w:pPr>
        <w:ind w:left="780"/>
      </w:pPr>
      <w:r>
        <w:t xml:space="preserve">d) sonstige Leistungen;</w:t>
      </w:r>
    </w:p>
    <w:p>
      <w:pPr>
        <w:ind w:left="420"/>
      </w:pPr>
      <w:r>
        <w:t xml:space="preserve">10. für zu den Finanzanlagen (§ 266 Abs. 2 A. III.) gehörende Finanzinstrumente, die in der Konzernbilanz über ihrem beizulegenden Zeitwert ausgewiesen werden, da eine außerplanmäßige Abschreibung gemäß § 253 Absatz 3 Satz 6 unterblieben ist,</w:t>
      </w:r>
    </w:p>
    <w:p>
      <w:pPr>
        <w:ind w:left="780"/>
      </w:pPr>
      <w:r>
        <w:t xml:space="preserve">a) der Buchwert und der beizulegende Zeitwert der einzelnen Vermögensgegenstände oder angemessener Gruppierungen sowie</w:t>
      </w:r>
    </w:p>
    <w:p>
      <w:pPr>
        <w:ind w:left="780"/>
      </w:pPr>
      <w:r>
        <w:t xml:space="preserve">b) die Gründe für das Unterlassen der Abschreibung einschließlich der Anhaltspunkte, die darauf hindeuten, dass die Wertminderung voraussichtlich nicht von Dauer ist;</w:t>
      </w:r>
    </w:p>
    <w:p>
      <w:pPr>
        <w:ind w:left="420"/>
      </w:pPr>
      <w:r>
        <w:t xml:space="preserve">11. für jede Kategorie nicht zum beizulegenden Zeitwert bilanzierter derivativer Finanzinstrumente</w:t>
      </w:r>
    </w:p>
    <w:p>
      <w:pPr>
        <w:ind w:left="780"/>
      </w:pPr>
      <w:r>
        <w:t xml:space="preserve">a) deren Art und Umfang,</w:t>
      </w:r>
    </w:p>
    <w:p>
      <w:pPr>
        <w:ind w:left="780"/>
      </w:pPr>
      <w:r>
        <w:t xml:space="preserve">b) deren beizulegender Zeitwert, soweit er sich nach § 255 Abs. 4 verlässlich ermitteln lässt, unter Angabe der angewandten Bewertungsmethode,</w:t>
      </w:r>
    </w:p>
    <w:p>
      <w:pPr>
        <w:ind w:left="780"/>
      </w:pPr>
      <w:r>
        <w:t xml:space="preserve">c) deren Buchwert und der Bilanzposten, in welchem der Buchwert, soweit vorhanden, erfasst ist, sowie</w:t>
      </w:r>
    </w:p>
    <w:p>
      <w:pPr>
        <w:ind w:left="780"/>
      </w:pPr>
      <w:r>
        <w:t xml:space="preserve">d) die Gründe dafür, warum der beizulegende Zeitwert nicht bestimmt werden kann;</w:t>
      </w:r>
    </w:p>
    <w:p>
      <w:pPr>
        <w:ind w:left="420"/>
      </w:pPr>
      <w:r>
        <w:t xml:space="preserve">12. für mit dem beizulegenden Zeitwert bewertete Finanzinstrumente</w:t>
      </w:r>
    </w:p>
    <w:p>
      <w:pPr>
        <w:ind w:left="780"/>
      </w:pPr>
      <w:r>
        <w:t xml:space="preserve">a) die grundlegenden Annahmen, die der Bestimmung des beizulegenden Zeitwertes mit Hilfe allgemein anerkannter Bewertungsmethoden zugrunde gelegt wurden, sowie</w:t>
      </w:r>
    </w:p>
    <w:p>
      <w:pPr>
        <w:ind w:left="780"/>
      </w:pPr>
      <w:r>
        <w:t xml:space="preserve">b) Umfang und Art jeder Kategorie derivativer Finanzinstrumente einschließlich der wesentlichen Bedingungen, welche die Höhe, den Zeitpunkt und die Sicherheit künftiger Zahlungsströme beeinflussen können;</w:t>
      </w:r>
    </w:p>
    <w:p>
      <w:pPr>
        <w:ind w:left="420"/>
      </w:pPr>
      <w:r>
        <w:t xml:space="preserve">13. zumindest die nicht zu marktüblichen Bedingungen zustande gekommenen Geschäfte des Mutterunternehmens und seiner Tochterunternehmen, soweit sie wesentlich sind, mit nahe stehenden Unternehmen und Personen, einschließlich Angaben zur Art der Beziehung, zum Wert der Geschäfte sowie weiterer Angaben, die für die Beurteilung der Finanzlage des Konzerns notwendig sind; ausgenommen sind Geschäfte zwischen in einen Konzernabschluss einbezogenen nahestehenden Unternehmen, wenn diese Geschäfte bei der Konsolidierung weggelassen werden; Angaben über Geschäfte können nach Geschäftsarten zusammengefasst werden, sofern die getrennte Angabe für die Beurteilung der Auswirkungen auf die Finanzlage des Konzerns nicht notwendig ist;</w:t>
      </w:r>
    </w:p>
    <w:p>
      <w:pPr>
        <w:ind w:left="420"/>
      </w:pPr>
      <w:r>
        <w:t xml:space="preserve">14. im Fall der Aktivierung nach § 248 Abs. 2 der Gesamtbetrag der Forschungs- und Entwicklungskosten des Geschäftsjahres der in den Konzernabschluss einbezogenen Unternehmen sowie der davon auf die selbst geschaffenen immateriellen Vermögensgegenstände des Anlagevermögens entfallende Betrag;</w:t>
      </w:r>
    </w:p>
    <w:p>
      <w:pPr>
        <w:ind w:left="420"/>
      </w:pPr>
      <w:r>
        <w:t xml:space="preserve">15. bei Anwendung des § 254 im Konzernabschluss,</w:t>
      </w:r>
    </w:p>
    <w:p>
      <w:pPr>
        <w:ind w:left="780"/>
      </w:pPr>
      <w:r>
        <w:t xml:space="preserve">a) mit welchem Betrag jeweils Vermögensgegenstände, Schulden, schwebende Geschäfte und mit hoher Wahrscheinlichkeit erwartete Transaktionen zur Absicherung welcher Risiken in welche Arten von Bewertungseinheiten einbezogen sind sowie die Höhe der mit Bewertungseinheiten abgesicherten Risiken;</w:t>
      </w:r>
    </w:p>
    <w:p>
      <w:pPr>
        <w:ind w:left="780"/>
      </w:pPr>
      <w:r>
        <w:t xml:space="preserve">b) für die jeweils abgesicherten Risiken, warum, in welchem Umfang und für welchen Zeitraum sich die gegenläufigen Wertänderungen oder Zahlungsströme künftig voraussichtlich ausgleichen einschließlich der Methode der Ermittlung;</w:t>
      </w:r>
    </w:p>
    <w:p>
      <w:pPr>
        <w:ind w:left="780"/>
      </w:pPr>
      <w:r>
        <w:t xml:space="preserve">c) eine Erläuterung der mit hoher Wahrscheinlichkeit erwarteten Transaktionen, die in Bewertungseinheiten einbezogen wurden,</w:t>
      </w:r>
    </w:p>
    <w:p>
      <w:pPr>
        <w:ind w:left="420"/>
      </w:pPr>
      <w:r>
        <w:t xml:space="preserve">soweit die Angaben nicht im Konzernlagebericht gemacht werden;</w:t>
      </w:r>
    </w:p>
    <w:p>
      <w:pPr>
        <w:ind w:left="420"/>
      </w:pPr>
      <w:r>
        <w:t xml:space="preserve">16. zu den in der Konzernbilanz ausgewiesenen Rückstellungen für Pensionen und ähnliche Verpflichtungen das angewandte versicherungsmathematische Berechnungsverfahren sowie die grundlegenden Annahmen der Berechnung, wie Zinssatz, erwartete Lohn- und Gehaltssteigerungen und zugrunde gelegte Sterbetafeln;</w:t>
      </w:r>
    </w:p>
    <w:p>
      <w:pPr>
        <w:ind w:left="420"/>
      </w:pPr>
      <w:r>
        <w:t xml:space="preserve">17. im Fall der Verrechnung von in der Konzernbilanz ausgewiesenen Vermögensgegenständen und Schulden nach § 246 Abs. 2 Satz 2 die Anschaffungskosten und der beizulegende Zeitwert der verrechneten Vermögensgegenstände, der Erfüllungsbetrag der verrechneten Schulden sowie die verrechneten Aufwendungen und Erträge; Nummer 12 Buchstabe a ist entsprechend anzuwenden;</w:t>
      </w:r>
    </w:p>
    <w:p>
      <w:pPr>
        <w:ind w:left="420"/>
      </w:pPr>
      <w:r>
        <w:t xml:space="preserve">18. zu den in der Konzernbilanz ausgewiesenen Anteilen an Sondervermögen im Sinn des § 1 Absatz 10 des Kapitalanlagegesetzbuchs oder Anlageaktien an Investmentaktiengesellschaften mit veränderlichem Kapital im Sinn der §§ 108 bis 123 des Kapitalanlagegesetzbuchs oder vergleichbaren EU-Investmentvermögen oder vergleichbaren ausländischen Investmentvermögen von mehr als dem zehnten Teil, aufgegliedert nach Anlagezielen, deren Wert im Sinne der §§ 168, 278 oder 286 Absatz 1 des Kapitalanlagegesetzbuchs oder vergleichbarer ausländischer Vorschriften über die Ermittlung des Marktwertes, die Differenz zum Buchwert und die für das Geschäftsjahr erfolgte Ausschüttung sowie Beschränkungen in der Möglichkeit der täglichen Rückgabe; darüber hinaus die Gründe dafür, dass eine Abschreibung gemäß § 253 Absatz 3 Satz 6 unterblieben ist, einschließlich der Anhaltspunkte, die darauf hindeuten, dass die Wertminderung voraussichtlich nicht von Dauer ist; Nummer 10 ist insoweit nicht anzuwenden;</w:t>
      </w:r>
    </w:p>
    <w:p>
      <w:pPr>
        <w:ind w:left="420"/>
      </w:pPr>
      <w:r>
        <w:t xml:space="preserve">19. für nach § 268 Abs. 7 im Konzernanhang ausgewiesene Verbindlichkeiten und Haftungsverhältnisse die Gründe der Einschätzung des Risikos der Inanspruchnahme;</w:t>
      </w:r>
    </w:p>
    <w:p>
      <w:pPr>
        <w:ind w:left="420"/>
      </w:pPr>
      <w:r>
        <w:t xml:space="preserve">20. jeweils eine Erläuterung des Zeitraums, über den ein entgeltlich erworbener Geschäfts- oder Firmenwert abgeschrieben wird;</w:t>
      </w:r>
    </w:p>
    <w:p>
      <w:pPr>
        <w:ind w:left="420"/>
      </w:pPr>
      <w:r>
        <w:t xml:space="preserve">21. auf welchen Differenzen oder steuerlichen Verlustvorträgen die latenten Steuern beruhen und mit welchen Steuersätzen die Bewertung erfolgt ist;</w:t>
      </w:r>
    </w:p>
    <w:p>
      <w:pPr>
        <w:ind w:left="420"/>
      </w:pPr>
      <w:r>
        <w:t xml:space="preserve">22. wenn latente Steuerschulden in der Konzernbilanz angesetzt werden, die latenten Steuersalden am Ende des Geschäftsjahrs und die im Laufe des Geschäftsjahrs erfolgten Änderungen dieser Salden;</w:t>
      </w:r>
    </w:p>
    <w:p>
      <w:pPr>
        <w:ind w:left="420"/>
      </w:pPr>
      <w:r>
        <w:t xml:space="preserve">22a. der tatsächliche Steueraufwand oder Steuerertrag, der sich nach dem Mindeststeuergesetz und ausländischen Mindeststeuergesetzen nach § 274 Absatz 3 Nummer 2 für das Geschäftsjahr ergibt, oder, wenn diese Gesetze noch nicht in Kraft getreten sind, eine Erläuterung, welche Auswirkungen auf den Konzern bei der Anwendung dieser Gesetze zu erwarten sind;</w:t>
      </w:r>
    </w:p>
    <w:p>
      <w:pPr>
        <w:ind w:left="420"/>
      </w:pPr>
      <w:r>
        <w:t xml:space="preserve">23. jeweils den Betrag und die Art der einzelnen Erträge und Aufwendungen von außergewöhnlicher Größenordnung oder außergewöhnlicher Bedeutung, soweit die Beträge nicht von untergeordneter Bedeutung sind;</w:t>
      </w:r>
    </w:p>
    <w:p>
      <w:pPr>
        <w:ind w:left="420"/>
      </w:pPr>
      <w:r>
        <w:t xml:space="preserve">24. eine Erläuterung der einzelnen Erträge und Aufwendungen hinsichtlich ihres Betrages und ihrer Art, die einem anderen Konzerngeschäftsjahr zuzurechnen sind, soweit die Beträge für die Beurteilung der Vermögens-, Finanz- und Ertragslage des Konzerns nicht von untergeordneter Bedeutung sind;</w:t>
      </w:r>
    </w:p>
    <w:p>
      <w:pPr>
        <w:ind w:left="420"/>
      </w:pPr>
      <w:r>
        <w:t xml:space="preserve">25. Vorgänge von besonderer Bedeutung, die nach dem Schluss des Konzerngeschäftsjahrs eingetreten und weder in der Konzern-Gewinn- und Verlustrechnung noch in der Konzernbilanz berücksichtigt sind, unter Angabe ihrer Art und ihrer finanziellen Auswirkungen;</w:t>
      </w:r>
    </w:p>
    <w:p>
      <w:pPr>
        <w:ind w:left="420"/>
      </w:pPr>
      <w:r>
        <w:t xml:space="preserve">26. der Vorschlag für die Verwendung des Ergebnisses des Mutterunternehmens oder gegebenenfalls der Beschluss über die Verwendung des Ergebnisses des Mutterunternehmens.</w:t>
      </w:r>
    </w:p>
    <w:p>
      <w:r>
        <w:t xml:space="preserve">(2) Mutterunternehmen, die den Konzernabschluss um eine Segmentberichterstattung erweitern (§ 297 Abs. 1 Satz 2), sind von der Angabepflicht gemäß Absatz 1 Nr. 3 befreit.</w:t>
      </w:r>
    </w:p>
    <w:p>
      <w:r>
        <w:t xml:space="preserve">(3) Für die Angabepflicht gemäß Absatz 1 Nummer 6 Buchstabe a und b gilt § 286 Absatz 4 entsprechend.</w:t>
      </w:r>
    </w:p>
    <w:p>
      <w:r>
        <w:rPr>
          <w:color w:val="555555"/>
          <w:sz w:val="17"/>
        </w:rPr>
        <w:t xml:space="preserve">Zitiervorschlag: § 314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