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Änderung der Firma oder ihrer Inhaber, die Verlegung der Niederlassung an einen anderen Ort sowie die Änderung der inländischen Geschäftsanschrift ist nach den Vorschriften des § 29 zur Eintragung in das Handelsregister anzumelden.</w:t>
      </w:r>
    </w:p>
    <w:p>
      <w:r>
        <w:t xml:space="preserve">(2) Das gleiche gilt, wenn die Firma erlischt. Kann die Anmeldung des Erlöschens einer eingetragenen Firma durch die hierzu Verpflichteten nicht auf dem in § 14 bezeichneten Wege herbeigeführt werden, so hat das Gericht das Erlöschen von Amts wegen einzutragen.</w:t>
      </w:r>
    </w:p>
    <w:p>
      <w:r>
        <w:rPr>
          <w:color w:val="555555"/>
          <w:sz w:val="17"/>
        </w:rPr>
        <w:t xml:space="preserve">Zitiervorschlag: § 31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