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308a HGB — Umrechnung von auf fremde Währung lautenden Abschlüssen</w:t>
      </w:r>
    </w:p>
    <w:p>
      <w:r>
        <w:rPr>
          <w:color w:val="555555"/>
          <w:sz w:val="18"/>
        </w:rPr>
        <w:t xml:space="preserve">Handelsgesetzbuch</w:t>
      </w:r>
    </w:p>
    <w:p>
      <w:r>
        <w:rPr>
          <w:color w:val="555555"/>
          <w:sz w:val="18"/>
        </w:rPr>
        <w:t xml:space="preserve">Stand: 10.06.2019 (konsolidierte Textfassung, kein amtliches Inkrafttretensdatum)</w:t>
      </w:r>
    </w:p>
    <w:p>
      <w:r>
        <w:t xml:space="preserve">Die Aktiv- und Passivposten einer auf fremde Währung lautenden Bilanz sind, mit Ausnahme des Eigenkapitals, das zum historischen Kurs in Euro umzurechnen ist, zum Devisenkassamittelkurs am Abschlussstichtag in Euro umzurechnen. Die Posten der Gewinn- und Verlustrechnung sind zum Durchschnittskurs in Euro umzurechnen. Eine sich ergebende Umrechnungsdifferenz ist innerhalb des Konzerneigenkapitals nach den Rücklagen unter dem Posten „Eigenkapitaldifferenz aus Währungsumrechnung“ auszuweisen. Bei teilweisem oder vollständigem Ausscheiden des Tochterunternehmens ist der Posten in entsprechender Höhe erfolgswirksam aufzulösen.</w:t>
      </w:r>
    </w:p>
    <w:p>
      <w:r>
        <w:rPr>
          <w:color w:val="555555"/>
          <w:sz w:val="17"/>
        </w:rPr>
        <w:t xml:space="preserve">Zitiervorschlag: § 308a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https://recht.nulegal.eu/gesetze/HGB/308a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