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303 HGB — Schuldenkonsolidierung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Ausleihungen und andere Forderungen, Rückstellungen und Verbindlichkeiten zwischen den in den Konzernabschluß einbezogenen Unternehmen sowie entsprechende Rechnungsabgrenzungsposten sind wegzulassen.</w:t>
      </w:r>
    </w:p>
    <w:p>
      <w:r>
        <w:t xml:space="preserve">(2) Absatz 1 braucht nicht angewendet zu werden, wenn die wegzulassenden Beträge für die Vermittlung eines den tatsächlichen Verhältnissen entsprechenden Bildes der Vermögens-, Finanz- und Ertragslage des Konzerns nur von untergeordneter Bedeutung sind.</w:t>
      </w:r>
    </w:p>
    <w:p>
      <w:r>
        <w:rPr>
          <w:color w:val="555555"/>
          <w:sz w:val="17"/>
        </w:rPr>
        <w:t xml:space="preserve">Zitiervorschlag: § 303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