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den Betrieb der Land- und Forstwirtschaft finden die Vorschriften des § 1 keine Anwendung.</w:t>
      </w:r>
    </w:p>
    <w:p>
      <w:r>
        <w:t xml:space="preserve">(2) Für ein land- oder forstwirtschaftliches Unternehmen, das nach Art und Umfang einen in kaufmännischer Weise eingerichteten Geschäftsbetrieb erfordert, gilt § 2 mit der Maßgabe, daß nach Eintragung in das Handelsregister eine Löschung der Firma nur nach den allgemeinen Vorschriften stattfindet, welche für die Löschung kaufmännischer Firmen gelten.</w:t>
      </w:r>
    </w:p>
    <w:p>
      <w:r>
        <w:t xml:space="preserve">(3) Ist mit dem Betrieb der Land- oder Forstwirtschaft ein Unternehmen verbunden, das nur ein Nebengewerbe des land- oder forstwirtschaftlichen Unternehmens darstellt, so finden auf das im Nebengewerbe betriebene Unternehmen die Vorschriften der Absätze 1 und 2 entsprechende Anwendung.</w:t>
      </w:r>
    </w:p>
    <w:p>
      <w:r>
        <w:rPr>
          <w:color w:val="555555"/>
          <w:sz w:val="17"/>
        </w:rPr>
        <w:t xml:space="preserve">Zitiervorschlag: § 3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