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299 HGB — Stichtag für die Aufstellung</w:t>
      </w:r>
    </w:p>
    <w:p>
      <w:r>
        <w:rPr>
          <w:color w:val="555555"/>
          <w:sz w:val="18"/>
        </w:rPr>
        <w:t xml:space="preserve">Handelsgesetzbuch</w:t>
      </w:r>
    </w:p>
    <w:p>
      <w:r>
        <w:rPr>
          <w:color w:val="555555"/>
          <w:sz w:val="18"/>
        </w:rPr>
        <w:t xml:space="preserve">Stand: 10.06.2019 (konsolidierte Textfassung, kein amtliches Inkrafttretensdatum)</w:t>
      </w:r>
    </w:p>
    <w:p>
      <w:r>
        <w:t xml:space="preserve">(1) Der Konzernabschluss ist auf den Stichtag des Jahresabschlusses des Mutterunternehmens aufzustellen.</w:t>
      </w:r>
    </w:p>
    <w:p>
      <w:r>
        <w:t xml:space="preserve">(2) Die Jahresabschlüsse der in den Konzernabschluß einbezogenen Unternehmen sollen auf den Stichtag des Konzernabschlusses aufgestellt werden. Liegt der Abschlußstichtag eines Unternehmens um mehr als drei Monate vor dem Stichtag des Konzernabschlusses, so ist dieses Unternehmen auf Grund eines auf den Stichtag und den Zeitraum des Konzernabschlusses aufgestellten Zwischenabschlusses in den Konzernabschluß einzubeziehen.</w:t>
      </w:r>
    </w:p>
    <w:p>
      <w:r>
        <w:t xml:space="preserve">(3) Wird bei abweichenden Abschlußstichtagen ein Unternehmen nicht auf der Grundlage eines auf den Stichtag und den Zeitraum des Konzernabschlusses aufgestellten Zwischenabschlusses in den Konzernabschluß einbezogen, so sind Vorgänge von besonderer Bedeutung für die Vermögens-, Finanz- und Ertragslage eines in den Konzernabschluß einbezogenen Unternehmens, die zwischen dem Abschlußstichtag dieses Unternehmens und dem Abschlußstichtag des Konzernabschlusses eingetreten sind, in der Konzernbilanz und der Konzern-Gewinn- und Verlustrechnung zu berücksichtigen oder im Konzernanhang anzugeben.</w:t>
      </w:r>
    </w:p>
    <w:p>
      <w:r>
        <w:rPr>
          <w:color w:val="555555"/>
          <w:sz w:val="17"/>
        </w:rPr>
        <w:t xml:space="preserve">Zitiervorschlag: § 299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https://recht.nulegal.eu/gesetze/HGB/299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299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