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289f HGB — Erklärung zur Unternehmensführung</w:t>
      </w:r>
    </w:p>
    <w:p>
      <w:r>
        <w:rPr>
          <w:color w:val="555555"/>
          <w:sz w:val="18"/>
        </w:rPr>
        <w:t xml:space="preserve">Handelsgesetzbuch</w:t>
      </w:r>
    </w:p>
    <w:p>
      <w:r>
        <w:rPr>
          <w:color w:val="555555"/>
          <w:sz w:val="18"/>
        </w:rPr>
        <w:t xml:space="preserve">Stand: 23.09.2021 (konsolidierte Textfassung, kein amtliches Inkrafttretensdatum)</w:t>
      </w:r>
    </w:p>
    <w:p>
      <w:r>
        <w:t xml:space="preserve">(1) Börsennotierte Aktiengesellschaften sowie Aktiengesellschaften, die ausschließlich andere Wertpapiere als Aktien zum Handel an einem organisierten Markt im Sinn des § 2 Absatz 11 des Wertpapierhandelsgesetzes ausgegeben haben und deren ausgegebene Aktien auf eigene Veranlassung über ein multilaterales Handelssystem im Sinn des § 2 Absatz 8 Satz 1 Nummer 8 des Wertpapierhandelsgesetzes gehandelt werden, haben eine Erklärung zur Unternehmensführung in ihren Lagebericht aufzunehmen, die dort einen gesonderten Abschnitt bildet. Sie kann auch auf der Internetseite der Gesellschaft öffentlich zugänglich gemacht werden. In diesem Fall ist in den Lagebericht eine Bezugnahme aufzunehmen, welche die Angabe der Internetseite enthält.</w:t>
      </w:r>
    </w:p>
    <w:p>
      <w:r>
        <w:t xml:space="preserve">(2) In die Erklärung zur Unternehmensführung sind aufzunehmen</w:t>
      </w:r>
    </w:p>
    <w:p>
      <w:pPr>
        <w:ind w:left="420"/>
      </w:pPr>
      <w:r>
        <w:t xml:space="preserve">1. die Erklärung gemäß § 161 des Aktiengesetzes;</w:t>
      </w:r>
    </w:p>
    <w:p>
      <w:pPr>
        <w:ind w:left="420"/>
      </w:pPr>
      <w:r>
        <w:t xml:space="preserve">1a. eine Bezugnahme auf die Internetseite der Gesellschaft, auf der der Vergütungsbericht über das letzte Geschäftsjahr und der Vermerk des Abschlussprüfers gemäß § 162 des Aktiengesetzes, das geltende Vergütungssystem gemäß § 87a Absatz 1 und 2 Satz 1 des Aktiengesetzes und der letzte Vergütungsbeschluss gemäß § 113 Absatz 3 des Aktiengesetzes öffentlich zugänglich gemacht werden;</w:t>
      </w:r>
    </w:p>
    <w:p>
      <w:pPr>
        <w:ind w:left="420"/>
      </w:pPr>
      <w:r>
        <w:t xml:space="preserve">2. relevante Angaben zu Unternehmensführungspraktiken, die über die gesetzlichen Anforderungen hinaus angewandt werden, nebst Hinweis, wo sie öffentlich zugänglich sind;</w:t>
      </w:r>
    </w:p>
    <w:p>
      <w:pPr>
        <w:ind w:left="420"/>
      </w:pPr>
      <w:r>
        <w:t xml:space="preserve">3. eine Beschreibung der Arbeitsweise von Vorstand und Aufsichtsrat sowie der Zusammensetzung und Arbeitsweise von deren Ausschüssen; sind die Informationen auf der Internetseite der Gesellschaft öffentlich zugänglich, kann darauf verwiesen werden;</w:t>
      </w:r>
    </w:p>
    <w:p>
      <w:pPr>
        <w:ind w:left="420"/>
      </w:pPr>
      <w:r>
        <w:t xml:space="preserve">4. bei Aktiengesellschaften im Sinne des Absatzes 1, die nach § 76 Absatz 4 und § 111 Absatz 5 des Aktiengesetzes verpflichtet sind, Zielgrößen für den Frauenanteil und Fristen für deren Erreichung festzulegen und die Festlegung der Zielgröße Null zu begründen, die vorgeschriebenen Festlegungen und Begründungen und die Angabe, ob die festgelegten Zielgrößen während des Bezugszeitraums erreicht worden sind, und, wenn nicht, Angaben zu den Gründen;</w:t>
      </w:r>
    </w:p>
    <w:p>
      <w:pPr>
        <w:ind w:left="420"/>
      </w:pPr>
      <w:r>
        <w:t xml:space="preserve">5. bei börsennotierten Aktiengesellschaften, die nach § 96 Absatz 2 und 3 des Aktiengesetzes bei der Besetzung des Aufsichtsrats jeweils einen Mindestanteil an Frauen und Männern einzuhalten haben, die Angabe, ob die Gesellschaft im Bezugszeitraum den Mindestanteil eingehalten hat, und, wenn nicht, Angaben zu den Gründen; bei börsennotierten Europäischen Gesellschaften (SE) tritt an die Stelle des § 96 Absatz 2 und 3 des Aktiengesetzes § 17 Absatz 2 oder § 24 Absatz 3 des SE-Ausführungsgesetzes;</w:t>
      </w:r>
    </w:p>
    <w:p>
      <w:pPr>
        <w:ind w:left="420"/>
      </w:pPr>
      <w:r>
        <w:t xml:space="preserve">5a. bei börsennotierten Aktiengesellschaften, die nach § 76 Absatz 3a des Aktiengesetzes mindestens eine Frau und mindestens einen Mann als Vorstandsmitglied bestellen müssen, die Angabe, ob die Gesellschaft im Bezugszeitraum diese Vorgabe eingehalten hat, und, wenn nicht, Angaben zu den Gründen; bei börsennotierten Europäischen Gesellschaften (SE) tritt an die Stelle des § 76 Absatz 3a des Aktiengesetzes § 16 Absatz 2 oder § 40 Absatz 1a des SE-Ausführungsgesetzes;</w:t>
      </w:r>
    </w:p>
    <w:p>
      <w:pPr>
        <w:ind w:left="420"/>
      </w:pPr>
      <w:r>
        <w:t xml:space="preserve">6. bei Aktiengesellschaften im Sinne des Absatzes 1, die nach § 267 Absatz 3 Satz 1 und Absatz 4 bis 5 große Kapitalgesellschaften sind, eine Beschreibung des Diversitätskonzepts, das im Hinblick auf die Zusammensetzung des vertretungsberechtigten Organs und des Aufsichtsrats in Bezug auf Aspekte wie beispielsweise Alter, Geschlecht, Bildungs- oder Berufshintergrund verfolgt wird, sowie der Ziele dieses Diversitätskonzepts, der Art und Weise seiner Umsetzung und der im Geschäftsjahr erreichten Ergebnisse.</w:t>
      </w:r>
    </w:p>
    <w:p>
      <w:r>
        <w:t xml:space="preserve">(3) Auf börsennotierte Kommanditgesellschaften auf Aktien sind die Absätze 1 und 2 entsprechend anzuwenden.</w:t>
      </w:r>
    </w:p>
    <w:p>
      <w:r>
        <w:t xml:space="preserve">(4) Andere Kapitalgesellschaften haben in ihren Lagebericht als gesonderten Abschnitt eine Erklärung zur Unternehmensführung mit den Festlegungen, Begründungen und Angaben nach Absatz 2 Nummer 4 aufzunehmen, wenn sie nach § 76 Absatz 4 oder § 111 Absatz 5 des Aktiengesetzes oder nach § 36 oder § 52 Absatz 2 des Gesetzes betreffend die Gesellschaften mit beschränkter Haftung verpflichtet sind, Zielgrößen für den Frauenanteil und Fristen für deren Erreichung festzulegen und die Festlegung der Zielgröße Null zu begründen. Absatz 1 Satz 2 und 3 gilt entsprechend. Kapitalgesellschaften, die nicht zur Aufstellung eines Lageberichts verpflichtet sind, haben eine Erklärung mit den Festlegungen, Begründungen und Angaben des Satzes 1 zu erstellen und auf der Internetseite der Gesellschaft zu veröffentlichen. Sie können diese Pflicht auch durch Offenlegung eines unter Berücksichtigung von Satz 1 aufgestellten Lageberichts erfüllen.</w:t>
      </w:r>
    </w:p>
    <w:p>
      <w:r>
        <w:t xml:space="preserve">(5) Wenn eine Gesellschaft nach Absatz 2 Nummer 6, auch in Verbindung mit Absatz 3, kein Diversitätskonzept verfolgt, hat sie dies in der Erklärung zur Unternehmensführung zu erläutern.</w:t>
      </w:r>
    </w:p>
    <w:p>
      <w:r>
        <w:rPr>
          <w:color w:val="555555"/>
          <w:sz w:val="17"/>
        </w:rPr>
        <w:t xml:space="preserve">Zitiervorschlag: § 289f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https://recht.nulegal.eu/gesetze/HGB/289f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289f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