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289d HGB — Nutzung von Rahmenwerken</w:t>
      </w:r>
    </w:p>
    <w:p>
      <w:r>
        <w:rPr>
          <w:color w:val="555555"/>
          <w:sz w:val="18"/>
        </w:rPr>
        <w:t xml:space="preserve">Handelsgesetzbuch</w:t>
      </w:r>
    </w:p>
    <w:p>
      <w:r>
        <w:rPr>
          <w:color w:val="555555"/>
          <w:sz w:val="18"/>
        </w:rPr>
        <w:t xml:space="preserve">Stand: 10.06.2019 (konsolidierte Textfassung, kein amtliches Inkrafttretensdatum)</w:t>
      </w:r>
    </w:p>
    <w:p>
      <w:r>
        <w:t xml:space="preserve">Die Kapitalgesellschaft kann für die Erstellung der nichtfinanziellen Erklärung nationale, europäische oder internationale Rahmenwerke nutzen. In der Erklärung ist anzugeben, ob die Kapitalgesellschaft für die Erstellung der nichtfinanziellen Erklärung ein Rahmenwerk genutzt hat und, wenn dies der Fall ist, welches Rahmenwerk genutzt wurde, sowie andernfalls, warum kein Rahmenwerk genutzt wurde.</w:t>
      </w:r>
    </w:p>
    <w:p>
      <w:r>
        <w:rPr>
          <w:color w:val="555555"/>
          <w:sz w:val="17"/>
        </w:rPr>
        <w:t xml:space="preserve">Zitiervorschlag: § 289d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https://recht.nulegal.eu/gesetze/HGB/289d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