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289a HGB — Ergänzende Vorgaben für bestimmte Aktiengesellschaften und Kommanditgesellschaften auf Aktien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Aktiengesellschaften und Kommanditgesellschaften auf Aktien, die einen organisierten Markt im Sinne des § 2 Absatz 7 des Wertpapiererwerbs- und Übernahmegesetzes durch von ihnen ausgegebene stimmberechtigte Aktien in Anspruch nehmen, haben im Lagebericht außerdem anzugeben:</w:t>
      </w:r>
    </w:p>
    <w:p>
      <w:pPr>
        <w:ind w:left="420"/>
      </w:pPr>
      <w:r>
        <w:t xml:space="preserve">1. die Zusammensetzung des gezeichneten Kapitals unter gesondertem Ausweis der mit jeder Gattung verbundenen Rechte und Pflichten und des Anteils am Gesellschaftskapital;</w:t>
      </w:r>
    </w:p>
    <w:p>
      <w:pPr>
        <w:ind w:left="420"/>
      </w:pPr>
      <w:r>
        <w:t xml:space="preserve">2. Beschränkungen, die Stimmrechte oder die Übertragung von Aktien betreffen, auch wenn sie sich aus Vereinbarungen zwischen Gesellschaftern ergeben können, soweit sie dem Vorstand der Gesellschaft bekannt sind;</w:t>
      </w:r>
    </w:p>
    <w:p>
      <w:pPr>
        <w:ind w:left="420"/>
      </w:pPr>
      <w:r>
        <w:t xml:space="preserve">3. direkte oder indirekte Beteiligungen am Kapital, die 10 Prozent der Stimmrechte überschreiten;</w:t>
      </w:r>
    </w:p>
    <w:p>
      <w:pPr>
        <w:ind w:left="420"/>
      </w:pPr>
      <w:r>
        <w:t xml:space="preserve">4. die Inhaber von Aktien mit Sonderrechten, die Kontrollbefugnisse verleihen, und eine Beschreibung dieser Sonderrechte;</w:t>
      </w:r>
    </w:p>
    <w:p>
      <w:pPr>
        <w:ind w:left="420"/>
      </w:pPr>
      <w:r>
        <w:t xml:space="preserve">5. die Art der Stimmrechtskontrolle, wenn Arbeitnehmer am Kapital beteiligt sind und ihre Kontrollrechte nicht unmittelbar ausüben;</w:t>
      </w:r>
    </w:p>
    <w:p>
      <w:pPr>
        <w:ind w:left="420"/>
      </w:pPr>
      <w:r>
        <w:t xml:space="preserve">6. die gesetzlichen Vorschriften und Bestimmungen der Satzung über die Ernennung und Abberufung der Mitglieder des Vorstands und über die Änderung der Satzung;</w:t>
      </w:r>
    </w:p>
    <w:p>
      <w:pPr>
        <w:ind w:left="420"/>
      </w:pPr>
      <w:r>
        <w:t xml:space="preserve">7. die Befugnisse des Vorstands insbesondere hinsichtlich der Möglichkeit, Aktien auszugeben oder zurückzukaufen;</w:t>
      </w:r>
    </w:p>
    <w:p>
      <w:pPr>
        <w:ind w:left="420"/>
      </w:pPr>
      <w:r>
        <w:t xml:space="preserve">8. wesentliche Vereinbarungen der Gesellschaft, die unter der Bedingung eines Kontrollwechsels infolge eines Übernahmeangebots stehen, und die hieraus folgenden Wirkungen;</w:t>
      </w:r>
    </w:p>
    <w:p>
      <w:pPr>
        <w:ind w:left="420"/>
      </w:pPr>
      <w:r>
        <w:t xml:space="preserve">9. Entschädigungsvereinbarungen der Gesellschaft, die für den Fall eines Übernahmeangebots mit den Mitgliedern des Vorstands oder mit Arbeitnehmern getroffen sind.</w:t>
      </w:r>
    </w:p>
    <w:p>
      <w:r>
        <w:t xml:space="preserve">Die Angaben nach Satz 1 Nummer 1, 3 und 9 können unterbleiben, soweit sie im Anhang zu machen sind. Sind Angaben nach Satz 1 im Anhang zu machen, ist im Lagebericht darauf zu verweisen. Die Angaben nach Satz 1 Nummer 8 können unterbleiben, soweit sie geeignet sind, der Gesellschaft einen erheblichen Nachteil zuzufügen; die Angabepflicht nach anderen gesetzlichen Vorschriften bleibt unberührt.</w:t>
      </w:r>
    </w:p>
    <w:p>
      <w:r>
        <w:rPr>
          <w:color w:val="555555"/>
          <w:sz w:val="17"/>
        </w:rPr>
        <w:t xml:space="preserve">Zitiervorschlag: § 289a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https://recht.nulegal.eu/gesetze/HGB/289a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289a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