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288 HGB — Größenabhängige Erleichterungen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Kleine Kapitalgesellschaften (§ 267 Absatz 1) brauchen nicht</w:t>
      </w:r>
    </w:p>
    <w:p>
      <w:pPr>
        <w:ind w:left="420"/>
      </w:pPr>
      <w:r>
        <w:t xml:space="preserve">1. die Angaben nach § 264c Absatz 2 Satz 9, § 265 Absatz 4 Satz 2, § 284 Absatz 2 Nummer 3, Absatz 3, § 285 Nummer 2, 3, 4, 8, 9 Buchstabe a und b, Nummer 10 bis 12, 14, 15, 15a, 17 bis 19, 21, 22, 24, 26 bis 30a, 32 bis 34 zu machen;</w:t>
      </w:r>
    </w:p>
    <w:p>
      <w:pPr>
        <w:ind w:left="420"/>
      </w:pPr>
      <w:r>
        <w:t xml:space="preserve">2. eine Trennung nach Gruppen bei der Angabe nach § 285 Nummer 7 vorzunehmen;</w:t>
      </w:r>
    </w:p>
    <w:p>
      <w:pPr>
        <w:ind w:left="420"/>
      </w:pPr>
      <w:r>
        <w:t xml:space="preserve">3. bei der Angabe nach § 285 Nummer 14a den Ort anzugeben, wo der vom Mutterunternehmen aufgestellte Konzernabschluss erhältlich ist.</w:t>
      </w:r>
    </w:p>
    <w:p>
      <w:r>
        <w:t xml:space="preserve">(2) Mittelgroße Kapitalgesellschaften (§ 267 Absatz 2) brauchen die Angabe nach § 285 Nummer 4, 29 und 32 nicht zu machen. Wenn sie die Angabe nach § 285 Nummer 17 nicht machen, sind sie verpflichtet, diese der Wirtschaftsprüferkammer auf deren schriftliche Anforderung zu übermitteln. Sie brauchen die Angaben nach § 285 Nummer 21 nur zu machen, sofern die Geschäfte direkt oder indirekt mit einem Gesellschafter, Unternehmen, an denen die Gesellschaft selbst eine Beteiligung hält, oder Mitgliedern des Geschäftsführungs-, Aufsichts- oder Verwaltungsorgans abgeschlossen wurden.</w:t>
      </w:r>
    </w:p>
    <w:p>
      <w:r>
        <w:rPr>
          <w:color w:val="555555"/>
          <w:sz w:val="17"/>
        </w:rPr>
        <w:t xml:space="preserve">Zitiervorschlag: § 288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https://recht.nulegal.eu/gesetze/HGB/288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288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