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285 HGB — Sonstige Pflichtangaben</w:t>
      </w:r>
    </w:p>
    <w:p>
      <w:r>
        <w:rPr>
          <w:color w:val="555555"/>
          <w:sz w:val="18"/>
        </w:rPr>
        <w:t xml:space="preserve">Handelsgesetzbuch</w:t>
      </w:r>
    </w:p>
    <w:p>
      <w:r>
        <w:rPr>
          <w:color w:val="555555"/>
          <w:sz w:val="18"/>
        </w:rPr>
        <w:t xml:space="preserve">Stand: 28.12.2023 (konsolidierte Textfassung, kein amtliches Inkrafttretensdatum)</w:t>
      </w:r>
    </w:p>
    <w:p>
      <w:r>
        <w:t xml:space="preserve">Ferner sind im Anhang anzugeben:</w:t>
      </w:r>
    </w:p>
    <w:p>
      <w:pPr>
        <w:ind w:left="420"/>
      </w:pPr>
      <w:r>
        <w:t xml:space="preserve">1. zu den in der Bilanz ausgewiesenen Verbindlichkeiten</w:t>
      </w:r>
    </w:p>
    <w:p>
      <w:pPr>
        <w:ind w:left="780"/>
      </w:pPr>
      <w:r>
        <w:t xml:space="preserve">a) der Gesamtbetrag der Verbindlichkeiten mit einer Restlaufzeit von mehr als fünf Jahren,</w:t>
      </w:r>
    </w:p>
    <w:p>
      <w:pPr>
        <w:ind w:left="780"/>
      </w:pPr>
      <w:r>
        <w:t xml:space="preserve">b) der Gesamtbetrag der Verbindlichkeiten, die durch Pfandrechte oder ähnliche Rechte gesichert sind, unter Angabe von Art und Form der Sicherheiten;</w:t>
      </w:r>
    </w:p>
    <w:p>
      <w:pPr>
        <w:ind w:left="420"/>
      </w:pPr>
      <w:r>
        <w:t xml:space="preserve">2. die Aufgliederung der in Nummer 1 verlangten Angaben für jeden Posten der Verbindlichkeiten nach dem vorgeschriebenen Gliederungsschema;</w:t>
      </w:r>
    </w:p>
    <w:p>
      <w:pPr>
        <w:ind w:left="420"/>
      </w:pPr>
      <w:r>
        <w:t xml:space="preserve">3. Art und Zweck sowie Risiken, Vorteile und finanzielle Auswirkungen von nicht in der Bilanz enthaltenen Geschäften, soweit die Risiken und Vorteile wesentlich sind und die Offenlegung für die Beurteilung der Finanzlage des Unternehmens erforderlich ist;</w:t>
      </w:r>
    </w:p>
    <w:p>
      <w:pPr>
        <w:ind w:left="420"/>
      </w:pPr>
      <w:r>
        <w:t xml:space="preserve">3a. der Gesamtbetrag der sonstigen finanziellen Verpflichtungen, die nicht in der Bilanz enthalten sind und die nicht nach § 268 Absatz 7 oder Nummer 3 anzugeben sind, sofern diese Angabe für die Beurteilung der Finanzlage von Bedeutung ist; davon sind Verpflichtungen betreffend die Altersversorgung und Verpflichtungen gegenüber verbundenen oder assoziierten Unternehmen jeweils gesondert anzugeben;</w:t>
      </w:r>
    </w:p>
    <w:p>
      <w:pPr>
        <w:ind w:left="420"/>
      </w:pPr>
      <w:r>
        <w:t xml:space="preserve">4. die Aufgliederung der Umsatzerlöse nach Tätigkeitsbereichen sowie nach geografisch bestimmten Märkten, soweit sich unter Berücksichtigung der Organisation des Verkaufs, der Vermietung oder Verpachtung von Produkten und der Erbringung von Dienstleistungen der Kapitalgesellschaft die Tätigkeitsbereiche und geografisch bestimmten Märkte untereinander erheblich unterscheiden;</w:t>
      </w:r>
    </w:p>
    <w:p>
      <w:pPr>
        <w:ind w:left="420"/>
      </w:pPr>
      <w:r>
        <w:t xml:space="preserve">5. (weggefallen)</w:t>
      </w:r>
    </w:p>
    <w:p>
      <w:pPr>
        <w:ind w:left="420"/>
      </w:pPr>
      <w:r>
        <w:t xml:space="preserve">6. (weggefallen)</w:t>
      </w:r>
    </w:p>
    <w:p>
      <w:pPr>
        <w:ind w:left="420"/>
      </w:pPr>
      <w:r>
        <w:t xml:space="preserve">7. die durchschnittliche Zahl der während des Geschäftsjahrs beschäftigten Arbeitnehmer getrennt nach Gruppen;</w:t>
      </w:r>
    </w:p>
    <w:p>
      <w:pPr>
        <w:ind w:left="420"/>
      </w:pPr>
      <w:r>
        <w:t xml:space="preserve">8. bei Anwendung des Umsatzkostenverfahrens (§ 275 Abs. 3)</w:t>
      </w:r>
    </w:p>
    <w:p>
      <w:pPr>
        <w:ind w:left="780"/>
      </w:pPr>
      <w:r>
        <w:t xml:space="preserve">a) der Materialaufwand des Geschäftsjahrs, gegliedert nach § 275 Abs. 2 Nr. 5,</w:t>
      </w:r>
    </w:p>
    <w:p>
      <w:pPr>
        <w:ind w:left="780"/>
      </w:pPr>
      <w:r>
        <w:t xml:space="preserve">b) der Personalaufwand des Geschäftsjahrs, gegliedert nach § 275 Abs. 2 Nr. 6;</w:t>
      </w:r>
    </w:p>
    <w:p>
      <w:pPr>
        <w:ind w:left="420"/>
      </w:pPr>
      <w:r>
        <w:t xml:space="preserve">9. für die Mitglieder des Geschäftsführungsorgans, eines Aufsichtsrats, eines Beirats oder einer ähnlichen Einrichtung jeweils für jede Personengruppe</w:t>
      </w:r>
    </w:p>
    <w:p>
      <w:pPr>
        <w:ind w:left="780"/>
      </w:pPr>
      <w:r>
        <w:t xml:space="preserve">a) die für die Tätigkeit im Geschäftsjahr gewährten Gesamtbezüge (Gehälter, Gewinnbeteiligungen, Bezugsrechte und sonstige aktienbasierte Vergütungen, Aufwandsentschädigungen, Versicherungsentgelte, Provisionen und Nebenleistungen jeder Art). In die Gesamtbezüge sind auch Bezüge einzurechnen, die nicht ausgezahlt, sondern in Ansprüche anderer Art umgewandelt oder zur Erhöhung anderer Ansprüche verwendet werden. Außer den Bezügen für das Geschäftsjahr sind die weiteren Bezüge anzugeben, die im Geschäftsjahr gewährt, bisher aber in keinem Jahresabschluss angegeben worden sind. Bezugsrechte und sonstige aktienbasierte Vergütungen sind mit ihrer Anzahl und dem beizulegenden Zeitwert zum Zeitpunkt ihrer Gewährung anzugeben; spätere Wertveränderungen, die auf einer Änderung der Ausübungsbedingungen beruhen, sind zu berücksichtigen;</w:t>
      </w:r>
    </w:p>
    <w:p>
      <w:pPr>
        <w:ind w:left="780"/>
      </w:pPr>
      <w:r>
        <w:t xml:space="preserve">b) die Gesamtbezüge (Abfindungen, Ruhegehälter, Hinterbliebenenbezüge und Leistungen verwandter Art) der früheren Mitglieder der bezeichneten Organe und ihrer Hinterbliebenen. Buchstabe a Satz 2 und 3 ist entsprechend anzuwenden. Ferner ist der Betrag der für diese Personengruppe gebildeten Rückstellungen für laufende Pensionen und Anwartschaften auf Pensionen und der Betrag der für diese Verpflichtungen nicht gebildeten Rückstellungen anzugeben;</w:t>
      </w:r>
    </w:p>
    <w:p>
      <w:pPr>
        <w:ind w:left="780"/>
      </w:pPr>
      <w:r>
        <w:t xml:space="preserve">c) die gewährten Vorschüsse und Kredite unter Angabe der Zinssätze, der wesentlichen Bedingungen und der gegebenenfalls im Geschäftsjahr zurückgezahlten oder erlassenen Beträge sowie die zugunsten dieser Personen eingegangenen Haftungsverhältnisse;</w:t>
      </w:r>
    </w:p>
    <w:p>
      <w:pPr>
        <w:ind w:left="420"/>
      </w:pPr>
      <w:r>
        <w:t xml:space="preserve">10. alle Mitglieder des Geschäftsführungsorgans und eines Aufsichtsrats, auch wenn sie im Geschäftsjahr oder später ausgeschieden sind, mit dem Familiennamen und mindestens einem ausgeschriebenen Vornamen, einschließlich des ausgeübten Berufs und bei börsennotierten Gesellschaften auch der Mitgliedschaft in Aufsichtsräten und anderen Kontrollgremien im Sinne des § 125 Abs. 1 Satz 5 des Aktiengesetzes. Der Vorsitzende eines Aufsichtsrats, seine Stellvertreter und ein etwaiger Vorsitzender des Geschäftsführungsorgans sind als solche zu bezeichnen;</w:t>
      </w:r>
    </w:p>
    <w:p>
      <w:pPr>
        <w:ind w:left="420"/>
      </w:pPr>
      <w:r>
        <w:t xml:space="preserve">11. Name und Sitz anderer Unternehmen, die Höhe des Anteils am Kapital, das Eigenkapital und das Ergebnis des letzten Geschäftsjahrs dieser Unternehmen, für das ein Jahresabschluss vorliegt, soweit es sich um Beteiligungen im Sinne des § 271 Absatz 1 handelt oder ein solcher Anteil von einer Person für Rechnung der Kapitalgesellschaft gehalten wird;</w:t>
      </w:r>
    </w:p>
    <w:p>
      <w:pPr>
        <w:ind w:left="420"/>
      </w:pPr>
      <w:r>
        <w:t xml:space="preserve">11a. Name, Sitz und Rechtsform der Unternehmen, deren unbeschränkt haftender Gesellschafter die Kapitalgesellschaft ist;</w:t>
      </w:r>
    </w:p>
    <w:p>
      <w:pPr>
        <w:ind w:left="420"/>
      </w:pPr>
      <w:r>
        <w:t xml:space="preserve">11b. von börsennotierten Kapitalgesellschaften sind alle Beteiligungen an großen Kapitalgesellschaften anzugeben, die 5 Prozent der Stimmrechte überschreiten;</w:t>
      </w:r>
    </w:p>
    <w:p>
      <w:pPr>
        <w:ind w:left="420"/>
      </w:pPr>
      <w:r>
        <w:t xml:space="preserve">12. Rückstellungen, die in der Bilanz unter dem Posten "sonstige Rückstellungen" nicht gesondert ausgewiesen werden, sind zu erläutern, wenn sie einen nicht unerheblichen Umfang haben;</w:t>
      </w:r>
    </w:p>
    <w:p>
      <w:pPr>
        <w:ind w:left="420"/>
      </w:pPr>
      <w:r>
        <w:t xml:space="preserve">13. jeweils eine Erläuterung des Zeitraums, über den ein entgeltlich erworbener Geschäfts- oder Firmenwert abgeschrieben wird;</w:t>
      </w:r>
    </w:p>
    <w:p>
      <w:pPr>
        <w:ind w:left="420"/>
      </w:pPr>
      <w:r>
        <w:t xml:space="preserve">14. Name und Sitz des Mutterunternehmens der Kapitalgesellschaft, das den Konzernabschluss für den größten Kreis von Unternehmen aufstellt, sowie der Ort, wo der von diesem Mutterunternehmen aufgestellte Konzernabschluss erhältlich ist;</w:t>
      </w:r>
    </w:p>
    <w:p>
      <w:pPr>
        <w:ind w:left="420"/>
      </w:pPr>
      <w:r>
        <w:t xml:space="preserve">14a. Name und Sitz des Mutterunternehmens der Kapitalgesellschaft, das den Konzernabschluss für den kleinsten Kreis von Unternehmen aufstellt, sowie der Ort, wo der von diesem Mutterunternehmen aufgestellte Konzernabschluss erhältlich ist;</w:t>
      </w:r>
    </w:p>
    <w:p>
      <w:pPr>
        <w:ind w:left="420"/>
      </w:pPr>
      <w:r>
        <w:t xml:space="preserve">15. soweit es sich um den Anhang des Jahresabschlusses einer Personenhandelsgesellschaft im Sinne des § 264a Abs. 1 handelt, Name und Sitz der Gesellschaften, die persönlich haftende Gesellschafter sind, sowie deren gezeichnetes Kapital;</w:t>
      </w:r>
    </w:p>
    <w:p>
      <w:pPr>
        <w:ind w:left="420"/>
      </w:pPr>
      <w:r>
        <w:t xml:space="preserve">15a. das Bestehen von Genussscheinen, Genussrechten, Wandelschuldverschreibungen, Optionsscheinen, Optionen, Besserungsscheinen oder vergleichbaren Wertpapieren oder Rechten, unter Angabe der Anzahl und der Rechte, die sie verbriefen;</w:t>
      </w:r>
    </w:p>
    <w:p>
      <w:pPr>
        <w:ind w:left="420"/>
      </w:pPr>
      <w:r>
        <w:t xml:space="preserve">16. dass die nach § 161 des Aktiengesetzes vorgeschriebene Erklärung abgegeben und wo sie öffentlich zugänglich gemacht worden ist;</w:t>
      </w:r>
    </w:p>
    <w:p>
      <w:pPr>
        <w:ind w:left="420"/>
      </w:pPr>
      <w:r>
        <w:t xml:space="preserve">17. das von dem Abschlussprüfer für das Geschäftsjahr berechnete Gesamthonorar, aufgeschlüsselt in das Honorar für</w:t>
      </w:r>
    </w:p>
    <w:p>
      <w:pPr>
        <w:ind w:left="780"/>
      </w:pPr>
      <w:r>
        <w:t xml:space="preserve">a) die Abschlussprüfungsleistungen,</w:t>
      </w:r>
    </w:p>
    <w:p>
      <w:pPr>
        <w:ind w:left="780"/>
      </w:pPr>
      <w:r>
        <w:t xml:space="preserve">b) andere Bestätigungsleistungen,</w:t>
      </w:r>
    </w:p>
    <w:p>
      <w:pPr>
        <w:ind w:left="780"/>
      </w:pPr>
      <w:r>
        <w:t xml:space="preserve">c) Steuerberatungsleistungen,</w:t>
      </w:r>
    </w:p>
    <w:p>
      <w:pPr>
        <w:ind w:left="780"/>
      </w:pPr>
      <w:r>
        <w:t xml:space="preserve">d) sonstige Leistungen,</w:t>
      </w:r>
    </w:p>
    <w:p>
      <w:pPr>
        <w:ind w:left="420"/>
      </w:pPr>
      <w:r>
        <w:t xml:space="preserve">soweit die Angaben nicht in einem das Unternehmen einbeziehenden Konzernabschluss enthalten sind;</w:t>
      </w:r>
    </w:p>
    <w:p>
      <w:pPr>
        <w:ind w:left="420"/>
      </w:pPr>
      <w:r>
        <w:t xml:space="preserve">18. für zu den Finanzanlagen (§ 266 Abs. 2 A. III.) gehörende Finanzinstrumente, die über ihrem beizulegenden Zeitwert ausgewiesen werden, da eine außerplanmäßige Abschreibung nach § 253 Absatz 3 Satz 6 unterblieben ist,</w:t>
      </w:r>
    </w:p>
    <w:p>
      <w:pPr>
        <w:ind w:left="780"/>
      </w:pPr>
      <w:r>
        <w:t xml:space="preserve">a) der Buchwert und der beizulegende Zeitwert der einzelnen Vermögensgegenstände oder angemessener Gruppierungen sowie</w:t>
      </w:r>
    </w:p>
    <w:p>
      <w:pPr>
        <w:ind w:left="780"/>
      </w:pPr>
      <w:r>
        <w:t xml:space="preserve">b) die Gründe für das Unterlassen der Abschreibung einschließlich der Anhaltspunkte, die darauf hindeuten, dass die Wertminderung voraussichtlich nicht von Dauer ist;</w:t>
      </w:r>
    </w:p>
    <w:p>
      <w:pPr>
        <w:ind w:left="420"/>
      </w:pPr>
      <w:r>
        <w:t xml:space="preserve">19. für jede Kategorie nicht zum beizulegenden Zeitwert bilanzierter derivativer Finanzinstrumente</w:t>
      </w:r>
    </w:p>
    <w:p>
      <w:pPr>
        <w:ind w:left="780"/>
      </w:pPr>
      <w:r>
        <w:t xml:space="preserve">a) deren Art und Umfang,</w:t>
      </w:r>
    </w:p>
    <w:p>
      <w:pPr>
        <w:ind w:left="780"/>
      </w:pPr>
      <w:r>
        <w:t xml:space="preserve">b) deren beizulegender Zeitwert, soweit er sich nach § 255 Abs. 4 verlässlich ermitteln lässt, unter Angabe der angewandten Bewertungsmethode,</w:t>
      </w:r>
    </w:p>
    <w:p>
      <w:pPr>
        <w:ind w:left="780"/>
      </w:pPr>
      <w:r>
        <w:t xml:space="preserve">c) deren Buchwert und der Bilanzposten, in welchem der Buchwert, soweit vorhanden, erfasst ist, sowie</w:t>
      </w:r>
    </w:p>
    <w:p>
      <w:pPr>
        <w:ind w:left="780"/>
      </w:pPr>
      <w:r>
        <w:t xml:space="preserve">d) die Gründe dafür, warum der beizulegende Zeitwert nicht bestimmt werden kann;</w:t>
      </w:r>
    </w:p>
    <w:p>
      <w:pPr>
        <w:ind w:left="420"/>
      </w:pPr>
      <w:r>
        <w:t xml:space="preserve">20. für mit dem beizulegenden Zeitwert bewertete Finanzinstrumente</w:t>
      </w:r>
    </w:p>
    <w:p>
      <w:pPr>
        <w:ind w:left="780"/>
      </w:pPr>
      <w:r>
        <w:t xml:space="preserve">a) die grundlegenden Annahmen, die der Bestimmung des beizulegenden Zeitwertes mit Hilfe allgemein anerkannter Bewertungsmethoden zugrunde gelegt wurden, sowie</w:t>
      </w:r>
    </w:p>
    <w:p>
      <w:pPr>
        <w:ind w:left="780"/>
      </w:pPr>
      <w:r>
        <w:t xml:space="preserve">b) Umfang und Art jeder Kategorie derivativer Finanzinstrumente einschließlich der wesentlichen Bedingungen, welche die Höhe, den Zeitpunkt und die Sicherheit künftiger Zahlungsströme beeinflussen können;</w:t>
      </w:r>
    </w:p>
    <w:p>
      <w:pPr>
        <w:ind w:left="420"/>
      </w:pPr>
      <w:r>
        <w:t xml:space="preserve">21. zumindest die nicht zu marktüblichen Bedingungen zustande gekommenen Geschäfte, soweit sie wesentlich sind, mit nahe stehenden Unternehmen und Personen, einschließlich Angaben zur Art der Beziehung, zum Wert der Geschäfte sowie weiterer Angaben, die für die Beurteilung der Finanzlage notwendig sind; ausgenommen sind Geschäfte mit und zwischen mittel- oder unmittelbar in 100-prozentigem Anteilsbesitz stehenden in einen Konzernabschluss einbezogenen Unternehmen; Angaben über Geschäfte können nach Geschäftsarten zusammengefasst werden, sofern die getrennte Angabe für die Beurteilung der Auswirkungen auf die Finanzlage nicht notwendig ist;</w:t>
      </w:r>
    </w:p>
    <w:p>
      <w:pPr>
        <w:ind w:left="420"/>
      </w:pPr>
      <w:r>
        <w:t xml:space="preserve">22. im Fall der Aktivierung nach § 248 Abs. 2 der Gesamtbetrag der Forschungs- und Entwicklungskosten des Geschäftsjahrs sowie der davon auf die selbst geschaffenen immateriellen Vermögensgegenstände des Anlagevermögens entfallende Betrag;</w:t>
      </w:r>
    </w:p>
    <w:p>
      <w:pPr>
        <w:ind w:left="420"/>
      </w:pPr>
      <w:r>
        <w:t xml:space="preserve">23. bei Anwendung des § 254,</w:t>
      </w:r>
    </w:p>
    <w:p>
      <w:pPr>
        <w:ind w:left="780"/>
      </w:pPr>
      <w:r>
        <w:t xml:space="preserve">a) mit welchem Betrag jeweils Vermögensgegenstände, Schulden, schwebende Geschäfte und mit hoher Wahrscheinlichkeit erwartete Transaktionen zur Absicherung welcher Risiken in welche Arten von Bewertungseinheiten einbezogen sind sowie die Höhe der mit Bewertungseinheiten abgesicherten Risiken,</w:t>
      </w:r>
    </w:p>
    <w:p>
      <w:pPr>
        <w:ind w:left="780"/>
      </w:pPr>
      <w:r>
        <w:t xml:space="preserve">b) für die jeweils abgesicherten Risiken, warum, in welchem Umfang und für welchen Zeitraum sich die gegenläufigen Wertänderungen oder Zahlungsströme künftig voraussichtlich ausgleichen einschließlich der Methode der Ermittlung,</w:t>
      </w:r>
    </w:p>
    <w:p>
      <w:pPr>
        <w:ind w:left="780"/>
      </w:pPr>
      <w:r>
        <w:t xml:space="preserve">c) eine Erläuterung der mit hoher Wahrscheinlichkeit erwarteten Transaktionen, die in Bewertungseinheiten einbezogen wurden,</w:t>
      </w:r>
    </w:p>
    <w:p>
      <w:pPr>
        <w:ind w:left="420"/>
      </w:pPr>
      <w:r>
        <w:t xml:space="preserve">soweit die Angaben nicht im Lagebericht gemacht werden;</w:t>
      </w:r>
    </w:p>
    <w:p>
      <w:pPr>
        <w:ind w:left="420"/>
      </w:pPr>
      <w:r>
        <w:t xml:space="preserve">24. zu den Rückstellungen für Pensionen und ähnliche Verpflichtungen das angewandte versicherungsmathematische Berechnungsverfahren sowie die grundlegenden Annahmen der Berechnung, wie Zinssatz, erwartete Lohn- und Gehaltssteigerungen und zugrunde gelegte Sterbetafeln;</w:t>
      </w:r>
    </w:p>
    <w:p>
      <w:pPr>
        <w:ind w:left="420"/>
      </w:pPr>
      <w:r>
        <w:t xml:space="preserve">25. im Fall der Verrechnung von Vermögensgegenständen und Schulden nach § 246 Abs. 2 Satz 2 die Anschaffungskosten und der beizulegende Zeitwert der verrechneten Vermögensgegenstände, der Erfüllungsbetrag der verrechneten Schulden sowie die verrechneten Aufwendungen und Erträge; Nummer 20 Buchstabe a ist entsprechend anzuwenden;</w:t>
      </w:r>
    </w:p>
    <w:p>
      <w:pPr>
        <w:ind w:left="420"/>
      </w:pPr>
      <w:r>
        <w:t xml:space="preserve">26. zu Anteilen an Sondervermögen im Sinn des § 1 Absatz 10 des Kapitalanlagegesetzbuchs oder Anlageaktien an Investmentaktiengesellschaften mit veränderlichem Kapital im Sinn der §§ 108 bis 123 des Kapitalanlagegesetzbuchs oder vergleichbaren EU-Investmentvermögen oder vergleichbaren ausländischen Investmentvermögen von mehr als dem zehnten Teil, aufgegliedert nach Anlagezielen, deren Wert im Sinne der §§ 168, 278 oder 286 Absatz 1 des Kapitalanlagegesetzbuchs oder vergleichbarer ausländischer Vorschriften über die Ermittlung des Marktwertes, die Differenz zum Buchwert und die für das Geschäftsjahr erfolgte Ausschüttung sowie Beschränkungen in der Möglichkeit der täglichen Rückgabe; darüber hinaus die Gründe dafür, dass eine Abschreibung gemäß § 253 Absatz 3 Satz 6 unterblieben ist, einschließlich der Anhaltspunkte, die darauf hindeuten, dass die Wertminderung voraussichtlich nicht von Dauer ist; Nummer 18 ist insoweit nicht anzuwenden;</w:t>
      </w:r>
    </w:p>
    <w:p>
      <w:pPr>
        <w:ind w:left="420"/>
      </w:pPr>
      <w:r>
        <w:t xml:space="preserve">27. für nach § 268 Abs. 7 im Anhang ausgewiesene Verbindlichkeiten und Haftungsverhältnisse die Gründe der Einschätzung des Risikos der Inanspruchnahme;</w:t>
      </w:r>
    </w:p>
    <w:p>
      <w:pPr>
        <w:ind w:left="420"/>
      </w:pPr>
      <w:r>
        <w:t xml:space="preserve">28. der Gesamtbetrag der Beträge im Sinn des § 268 Abs. 8, aufgegliedert in Beträge aus der Aktivierung selbst geschaffener immaterieller Vermögensgegenstände des Anlagevermögens, Beträge aus der Aktivierung latenter Steuern und aus der Aktivierung von Vermögensgegenständen zum beizulegenden Zeitwert;</w:t>
      </w:r>
    </w:p>
    <w:p>
      <w:pPr>
        <w:ind w:left="420"/>
      </w:pPr>
      <w:r>
        <w:t xml:space="preserve">29. auf welchen Differenzen oder steuerlichen Verlustvorträgen die latenten Steuern beruhen und mit welchen Steuersätzen die Bewertung erfolgt ist;</w:t>
      </w:r>
    </w:p>
    <w:p>
      <w:pPr>
        <w:ind w:left="420"/>
      </w:pPr>
      <w:r>
        <w:t xml:space="preserve">30. wenn latente Steuerschulden in der Bilanz angesetzt werden, die latenten Steuersalden am Ende des Geschäftsjahrs und die im Laufe des Geschäftsjahrs erfolgten Änderungen dieser Salden;</w:t>
      </w:r>
    </w:p>
    <w:p>
      <w:pPr>
        <w:ind w:left="420"/>
      </w:pPr>
      <w:r>
        <w:t xml:space="preserve">30a. der tatsächliche Steueraufwand oder Steuerertrag, der sich nach dem Mindeststeuergesetz und ausländischen Mindeststeuergesetzen nach § 274 Absatz 3 Nummer 2 für das Geschäftsjahr ergibt, oder, wenn diese Gesetze noch nicht in Kraft getreten sind, eine Erläuterung, welche Auswirkungen auf die Kapitalgesellschaft bei der Anwendung dieser Gesetze zu erwarten sind;</w:t>
      </w:r>
    </w:p>
    <w:p>
      <w:pPr>
        <w:ind w:left="420"/>
      </w:pPr>
      <w:r>
        <w:t xml:space="preserve">31. jeweils der Betrag und die Art der einzelnen Erträge und Aufwendungen von außergewöhnlicher Größenordnung oder außergewöhnlicher Bedeutung, soweit die Beträge nicht von untergeordneter Bedeutung sind;</w:t>
      </w:r>
    </w:p>
    <w:p>
      <w:pPr>
        <w:ind w:left="420"/>
      </w:pPr>
      <w:r>
        <w:t xml:space="preserve">32. eine Erläuterung der einzelnen Erträge und Aufwendungen hinsichtlich ihres Betrags und ihrer Art, die einem anderen Geschäftsjahr zuzurechnen sind, soweit die Beträge nicht von untergeordneter Bedeutung sind;</w:t>
      </w:r>
    </w:p>
    <w:p>
      <w:pPr>
        <w:ind w:left="420"/>
      </w:pPr>
      <w:r>
        <w:t xml:space="preserve">33. Vorgänge von besonderer Bedeutung, die nach dem Schluss des Geschäftsjahrs eingetreten und weder in der Gewinn- und Verlustrechnung noch in der Bilanz berücksichtigt sind, unter Angabe ihrer Art und ihrer finanziellen Auswirkungen;</w:t>
      </w:r>
    </w:p>
    <w:p>
      <w:pPr>
        <w:ind w:left="420"/>
      </w:pPr>
      <w:r>
        <w:t xml:space="preserve">34. der Vorschlag für die Verwendung des Ergebnisses oder der Beschluss über seine Verwendung.</w:t>
      </w:r>
    </w:p>
    <w:p>
      <w:r>
        <w:rPr>
          <w:color w:val="555555"/>
          <w:sz w:val="17"/>
        </w:rPr>
        <w:t xml:space="preserve">Zitiervorschlag: § 285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