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274a HGB — Größenabhängige Erleichterungen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Kleine Kapitalgesellschaften sind von der Anwendung der folgenden Vorschriften befreit:</w:t>
      </w:r>
    </w:p>
    <w:p>
      <w:pPr>
        <w:ind w:left="420"/>
      </w:pPr>
      <w:r>
        <w:t xml:space="preserve">1. § 268 Abs. 4 Satz 2 über die Pflicht zur Erläuterung bestimmter Forderungen im Anhang,</w:t>
      </w:r>
    </w:p>
    <w:p>
      <w:pPr>
        <w:ind w:left="420"/>
      </w:pPr>
      <w:r>
        <w:t xml:space="preserve">2. § 268 Abs. 5 Satz 3 über die Erläuterung bestimmter Verbindlichkeiten im Anhang,</w:t>
      </w:r>
    </w:p>
    <w:p>
      <w:pPr>
        <w:ind w:left="420"/>
      </w:pPr>
      <w:r>
        <w:t xml:space="preserve">3. § 268 Abs. 6 über den Rechnungsabgrenzungsposten nach § 250 Abs. 3,</w:t>
      </w:r>
    </w:p>
    <w:p>
      <w:pPr>
        <w:ind w:left="420"/>
      </w:pPr>
      <w:r>
        <w:t xml:space="preserve">4. § 274 über die Abgrenzung latenter Steuern.</w:t>
      </w:r>
    </w:p>
    <w:p>
      <w:r>
        <w:rPr>
          <w:color w:val="555555"/>
          <w:sz w:val="17"/>
        </w:rPr>
        <w:t xml:space="preserve">Zitiervorschlag: § 274a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https://recht.nulegal.eu/gesetze/HGB/274a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274a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