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 HGB — Bildung bestimmter Posten</w:t>
      </w:r>
    </w:p>
    <w:p>
      <w:r>
        <w:rPr>
          <w:color w:val="555555"/>
          <w:sz w:val="18"/>
        </w:rPr>
        <w:t xml:space="preserve">Handelsgesetzbuch</w:t>
      </w:r>
    </w:p>
    <w:p>
      <w:r>
        <w:rPr>
          <w:color w:val="555555"/>
          <w:sz w:val="18"/>
        </w:rPr>
        <w:t xml:space="preserve">Stand: 10.06.2019 (konsolidierte Textfassung, kein amtliches Inkrafttretensdatum)</w:t>
      </w:r>
    </w:p>
    <w:p>
      <w:r>
        <w:t xml:space="preserve">(1) Einstellungen in die Kapitalrücklage und deren Auflösung sind bereits bei der Aufstellung der Bilanz vorzunehmen.</w:t>
      </w:r>
    </w:p>
    <w:p>
      <w:r>
        <w:t xml:space="preserve">(2) Wird die Bilanz unter Berücksichtigung der vollständigen oder teilweisen Verwendung des Jahresergebnisses aufgestellt, so sind Entnahmen aus Gewinnrücklagen sowie Einstellungen in Gewinnrücklagen, die nach Gesetz, Gesellschaftsvertrag oder Satzung vorzunehmen sind oder auf Grund solcher Vorschriften beschlossen worden sind, bereits bei der Aufstellung der Bilanz zu berücksichtigen.</w:t>
      </w:r>
    </w:p>
    <w:p>
      <w:r>
        <w:rPr>
          <w:color w:val="555555"/>
          <w:sz w:val="17"/>
        </w:rPr>
        <w:t xml:space="preserve">Zitiervorschlag: § 270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