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264a HGB — Anwendung auf bestimmte offene Handelsgesellschaften und Kommanditgesellschaften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Vorschriften des Ersten bis Fünften Unterabschnitts des Zweiten Abschnitts sind auch anzuwenden auf offene Handelsgesellschaften und Kommanditgesellschaften, bei denen nicht wenigstens ein persönlich haftender Gesellschafter</w:t>
      </w:r>
    </w:p>
    <w:p>
      <w:pPr>
        <w:ind w:left="420"/>
      </w:pPr>
      <w:r>
        <w:t xml:space="preserve">1. eine natürliche Person oder</w:t>
      </w:r>
    </w:p>
    <w:p>
      <w:pPr>
        <w:ind w:left="420"/>
      </w:pPr>
      <w:r>
        <w:t xml:space="preserve">2. eine offene Handelsgesellschaft, Kommanditgesellschaft oder andere Personengesellschaft mit einer natürlichen Person als persönlich haftendem Gesellschafter</w:t>
      </w:r>
    </w:p>
    <w:p>
      <w:r>
        <w:t xml:space="preserve">ist oder sich die Verbindung von Gesellschaften in dieser Art fortsetzt.</w:t>
      </w:r>
    </w:p>
    <w:p>
      <w:r>
        <w:t xml:space="preserve">(2) In den Vorschriften dieses Abschnitts gelten als gesetzliche Vertreter einer offenen Handelsgesellschaft und Kommanditgesellschaft nach Absatz 1 die Mitglieder des vertretungsberechtigten Organs der vertretungsberechtigten Gesellschaften.</w:t>
      </w:r>
    </w:p>
    <w:p>
      <w:r>
        <w:rPr>
          <w:color w:val="555555"/>
          <w:sz w:val="17"/>
        </w:rPr>
        <w:t xml:space="preserve">Zitiervorschlag: § 264a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https://recht.nulegal.eu/gesetze/HGB/264a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