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249 HGB — Rückstellungen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Rückstellungen sind für ungewisse Verbindlichkeiten und für drohende Verluste aus schwebenden Geschäften zu bilden. Ferner sind Rückstellungen zu bilden für</w:t>
      </w:r>
    </w:p>
    <w:p>
      <w:pPr>
        <w:ind w:left="420"/>
      </w:pPr>
      <w:r>
        <w:t xml:space="preserve">1. im Geschäftsjahr unterlassene Aufwendungen für Instandhaltung, die im folgenden Geschäftsjahr innerhalb von drei Monaten, oder für Abraumbeseitigung, die im folgenden Geschäftsjahr nachgeholt werden,</w:t>
      </w:r>
    </w:p>
    <w:p>
      <w:pPr>
        <w:ind w:left="420"/>
      </w:pPr>
      <w:r>
        <w:t xml:space="preserve">2. Gewährleistungen, die ohne rechtliche Verpflichtung erbracht werden.</w:t>
      </w:r>
    </w:p>
    <w:p>
      <w:r>
        <w:t xml:space="preserve">(2) Für andere als die in Absatz 1 bezeichneten Zwecke dürfen Rückstellungen nicht gebildet werden. Rückstellungen dürfen nur aufgelöst werden, soweit der Grund hierfür entfallen ist.</w:t>
      </w:r>
    </w:p>
    <w:p>
      <w:r>
        <w:rPr>
          <w:color w:val="555555"/>
          <w:sz w:val="17"/>
        </w:rPr>
        <w:t xml:space="preserve">Zitiervorschlag: § 249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