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248 HGB — Bilanzierungsverbote und -wahlrechte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die Bilanz dürfen nicht als Aktivposten aufgenommen werden:</w:t>
      </w:r>
    </w:p>
    <w:p>
      <w:pPr>
        <w:ind w:left="420"/>
      </w:pPr>
      <w:r>
        <w:t xml:space="preserve">1. Aufwendungen für die Gründung eines Unternehmens,</w:t>
      </w:r>
    </w:p>
    <w:p>
      <w:pPr>
        <w:ind w:left="420"/>
      </w:pPr>
      <w:r>
        <w:t xml:space="preserve">2. Aufwendungen für die Beschaffung des Eigenkapitals und</w:t>
      </w:r>
    </w:p>
    <w:p>
      <w:pPr>
        <w:ind w:left="420"/>
      </w:pPr>
      <w:r>
        <w:t xml:space="preserve">3. Aufwendungen für den Abschluss von Versicherungsverträgen.</w:t>
      </w:r>
    </w:p>
    <w:p>
      <w:r>
        <w:t xml:space="preserve">(2) Selbst geschaffene immaterielle Vermögensgegenstände des Anlagevermögens können als Aktivposten in die Bilanz aufgenommen werden. Nicht aufgenommen werden dürfen selbst geschaffene Marken, Drucktitel, Verlagsrechte, Kundenlisten oder vergleichbare immaterielle Vermögensgegenstände des Anlagevermögens.</w:t>
      </w:r>
    </w:p>
    <w:p>
      <w:r>
        <w:rPr>
          <w:color w:val="555555"/>
          <w:sz w:val="17"/>
        </w:rPr>
        <w:t xml:space="preserve">Zitiervorschlag: § 248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https://recht.nulegal.eu/gesetze/HGB/248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