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245 HGB — Unterzeichnung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Jahresabschluß ist vom Kaufmann unter Angabe des Datums zu unterzeichnen. Sind mehrere persönlich haftende Gesellschafter vorhanden, so haben sie alle zu unterzeichnen.</w:t>
      </w:r>
    </w:p>
    <w:p>
      <w:r>
        <w:rPr>
          <w:color w:val="555555"/>
          <w:sz w:val="17"/>
        </w:rPr>
        <w:t xml:space="preserve">Zitiervorschlag: § 245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