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236 HGB</w:t>
      </w:r>
    </w:p>
    <w:p>
      <w:r>
        <w:rPr>
          <w:color w:val="555555"/>
          <w:sz w:val="18"/>
        </w:rPr>
        <w:t xml:space="preserve">Handelsgesetzbuch</w:t>
      </w:r>
    </w:p>
    <w:p>
      <w:r>
        <w:rPr>
          <w:color w:val="555555"/>
          <w:sz w:val="18"/>
        </w:rPr>
        <w:t xml:space="preserve">Stand: 14.10.2023 (konsolidierte Textfassung, kein amtliches Inkrafttretensdatum)</w:t>
      </w:r>
    </w:p>
    <w:p>
      <w:r>
        <w:t xml:space="preserve">(1) Wird über das Vermögen des Inhabers des Handelsgeschäfts das Insolvenzverfahren eröffnet, so kann der stille Gesellschafter wegen der Einlage, soweit sie den Betrag des auf ihn fallenden Anteils am Verlust übersteigt, seine Forderung als Insolvenzgläubiger geltend machen.</w:t>
      </w:r>
    </w:p>
    <w:p>
      <w:r>
        <w:t xml:space="preserve">(2) Ist die Einlage rückständig, so hat sie der stille Gesellschafter bis zu dem Betrage, welcher zur Deckung seines Anteils am Verlust erforderlich ist, zur Insolvenzmasse einzuzahlen.</w:t>
      </w:r>
    </w:p>
    <w:p>
      <w:r>
        <w:rPr>
          <w:color w:val="555555"/>
          <w:sz w:val="17"/>
        </w:rPr>
        <w:t xml:space="preserve">Zitiervorschlag: § 236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