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235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Nach der Auflösung der Gesellschaft hat sich der Inhaber des Handelsgeschäfts mit dem stillen Gesellschafter auseinanderzusetzen und dessen Guthaben in Geld zu berichtigen.</w:t>
      </w:r>
    </w:p>
    <w:p>
      <w:r>
        <w:t xml:space="preserve">(2) Die zur Zeit der Auflösung schwebenden Geschäfte werden von dem Inhaber des Handelsgeschäfts abgewickelt. Der stille Gesellschafter nimmt teil an dem Gewinn und Verluste, der sich aus diesen Geschäften ergibt.</w:t>
      </w:r>
    </w:p>
    <w:p>
      <w:r>
        <w:t xml:space="preserve">(3) Er kann am Schlusse jedes Geschäftsjahrs Rechenschaft über die inzwischen beendigten Geschäfte, Auszahlung des ihm gebührenden Betrags und Auskunft über den Stand der noch schwebenden Geschäfte verlangen.</w:t>
      </w:r>
    </w:p>
    <w:p>
      <w:r>
        <w:rPr>
          <w:color w:val="555555"/>
          <w:sz w:val="17"/>
        </w:rPr>
        <w:t xml:space="preserve">Zitiervorschlag: § 235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https://recht.nulegal.eu/gesetze/HGB/235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235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