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234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Auf die Kündigung der Gesellschaft durch einen der Gesellschafter oder durch einen Gläubiger des stillen Gesellschafters finden die Vorschriften der §§ 132 und 133 entsprechende Anwendung.</w:t>
      </w:r>
    </w:p>
    <w:p>
      <w:r>
        <w:t xml:space="preserve">(2) Durch den Tod des stillen Gesellschafters wird die Gesellschaft nicht aufgelöst.</w:t>
      </w:r>
    </w:p>
    <w:p>
      <w:r>
        <w:rPr>
          <w:color w:val="555555"/>
          <w:sz w:val="17"/>
        </w:rPr>
        <w:t xml:space="preserve">Zitiervorschlag: § 234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234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