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233 HGB — Informationsrecht des stillen Gesellschafters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Auf das Informationsrecht des stillen Gesellschafters ist § 166 entsprechend anzuwenden.</w:t>
      </w:r>
    </w:p>
    <w:p>
      <w:r>
        <w:rPr>
          <w:color w:val="555555"/>
          <w:sz w:val="17"/>
        </w:rPr>
        <w:t xml:space="preserve">Zitiervorschlag: § 233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https://recht.nulegal.eu/gesetze/HGB/233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233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