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Am Schlusse jedes Geschäftsjahrs wird der Gewinn und Verlust berechnet und der auf den stillen Gesellschafter fallende Gewinn ihm ausbezahlt.</w:t>
      </w:r>
    </w:p>
    <w:p>
      <w:r>
        <w:t xml:space="preserve">(2) Der stille Gesellschafter nimmt an dem Verluste nur bis zum Betrage seiner eingezahlten oder rückständigen Einlage teil. Er ist nicht verpflichtet, den bezogenen Gewinn wegen späterer Verluste zurückzuzahlen; jedoch wird, solange seine Einlage durch Verlust vermindert ist, der jährliche Gewinn zur Deckung des Verlustes verwendet.</w:t>
      </w:r>
    </w:p>
    <w:p>
      <w:r>
        <w:t xml:space="preserve">(3) Der Gewinn, welcher von dem stillen Gesellschafter nicht erhoben wird, vermehrt dessen Einlage nicht, sofern nicht ein anderes vereinbart ist.</w:t>
      </w:r>
    </w:p>
    <w:p>
      <w:r>
        <w:rPr>
          <w:color w:val="555555"/>
          <w:sz w:val="17"/>
        </w:rPr>
        <w:t xml:space="preserve">Zitiervorschlag: § 232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