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231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Ist der Anteil des stillen Gesellschafters am Gewinn und Verluste nicht bestimmt, so gilt ein den Umständen nach angemessener Anteil als bedungen.</w:t>
      </w:r>
    </w:p>
    <w:p>
      <w:r>
        <w:t xml:space="preserve">(2) Im Gesellschaftsvertrage kann bestimmt werden, daß der stille Gesellschafter nicht am Verluste beteiligt sein soll; seine Beteiligung am Gewinne kann nicht ausgeschlossen werden.</w:t>
      </w:r>
    </w:p>
    <w:p>
      <w:r>
        <w:rPr>
          <w:color w:val="555555"/>
          <w:sz w:val="17"/>
        </w:rPr>
        <w:t xml:space="preserve">Zitiervorschlag: § 231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