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230 HGB</w:t>
      </w:r>
    </w:p>
    <w:p>
      <w:r>
        <w:rPr>
          <w:color w:val="555555"/>
          <w:sz w:val="18"/>
        </w:rPr>
        <w:t xml:space="preserve">Handelsgesetzbuch</w:t>
      </w:r>
    </w:p>
    <w:p>
      <w:r>
        <w:rPr>
          <w:color w:val="555555"/>
          <w:sz w:val="18"/>
        </w:rPr>
        <w:t xml:space="preserve">Stand: 14.10.2023 (konsolidierte Textfassung, kein amtliches Inkrafttretensdatum)</w:t>
      </w:r>
    </w:p>
    <w:p>
      <w:r>
        <w:t xml:space="preserve">(1) Wer sich als stiller Gesellschafter an dem Handelsgewerbe, das ein anderer betreibt, mit einer Vermögenseinlage beteiligt, hat die Einlage so zu leisten, daß sie in das Vermögen des Inhabers des Handelsgeschäfts übergeht.</w:t>
      </w:r>
    </w:p>
    <w:p>
      <w:r>
        <w:t xml:space="preserve">(2) Der Inhaber wird aus den in dem Betriebe geschlossenen Geschäften allein berechtigt und verpflichtet.</w:t>
      </w:r>
    </w:p>
    <w:p>
      <w:r>
        <w:rPr>
          <w:color w:val="555555"/>
          <w:sz w:val="17"/>
        </w:rPr>
        <w:t xml:space="preserve">Zitiervorschlag: § 230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https://recht.nulegal.eu/gesetze/HGB/230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