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HGB</w:t>
      </w:r>
    </w:p>
    <w:p>
      <w:r>
        <w:rPr>
          <w:color w:val="555555"/>
          <w:sz w:val="18"/>
        </w:rPr>
        <w:t xml:space="preserve">Handelsgesetzbuch</w:t>
      </w:r>
    </w:p>
    <w:p>
      <w:r>
        <w:rPr>
          <w:color w:val="555555"/>
          <w:sz w:val="18"/>
        </w:rPr>
        <w:t xml:space="preserve">Stand: 01.01.2024 (konsolidierte Textfassung, kein amtliches Inkrafttretensdatum)</w:t>
      </w:r>
    </w:p>
    <w:p>
      <w:r>
        <w:t xml:space="preserve">(1) Hat die Gesellschaft, deren Zweck auf den Betrieb eines Handelsgewerbes unter gemeinschaftlicher Firma gerichtet ist, am Rechtsverkehr teilgenommen, bevor sie in das Handelsregister eingetragen ist, haftet jeder Kommanditist, der der Teilnahme am Rechtsverkehr zugestimmt hat, für die bis zur Eintragung begründeten Verbindlichkeiten der Gesellschaft gleich einem persönlich haftenden Gesellschafter, es sei denn, dass seine Beteiligung als Kommanditist dem Gläubiger bekannt war.</w:t>
      </w:r>
    </w:p>
    <w:p>
      <w:r>
        <w:t xml:space="preserve">(2) Tritt ein weiterer Gesellschafter als Kommanditist in eine bestehende Handelsgesellschaft ein, ist Absatz 1 für die in der Zeit zwischen seinem Eintritt und dessen Eintragung in das Handelsregister begründeten Verbindlichkeiten entsprechend anzuwenden.</w:t>
      </w:r>
    </w:p>
    <w:p>
      <w:r>
        <w:rPr>
          <w:color w:val="555555"/>
          <w:sz w:val="17"/>
        </w:rPr>
        <w:t xml:space="preserve">Zitiervorschlag: § 176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